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14847C" w14:textId="267F6CB2" w:rsidR="00EA1BD8" w:rsidRDefault="00D550C5" w:rsidP="00D550C5">
      <w:pPr>
        <w:jc w:val="right"/>
      </w:pPr>
      <w:r w:rsidRPr="006F59D7">
        <w:rPr>
          <w:noProof/>
        </w:rPr>
        <w:drawing>
          <wp:inline distT="0" distB="0" distL="0" distR="0" wp14:anchorId="0179AF40" wp14:editId="3444E1C6">
            <wp:extent cx="2714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695325"/>
                    </a:xfrm>
                    <a:prstGeom prst="rect">
                      <a:avLst/>
                    </a:prstGeom>
                    <a:noFill/>
                    <a:ln>
                      <a:noFill/>
                    </a:ln>
                  </pic:spPr>
                </pic:pic>
              </a:graphicData>
            </a:graphic>
          </wp:inline>
        </w:drawing>
      </w:r>
    </w:p>
    <w:p w14:paraId="642B5D0A" w14:textId="77777777" w:rsidR="00EA1BD8" w:rsidRDefault="00EA1BD8" w:rsidP="00D550C5">
      <w:pPr>
        <w:pStyle w:val="Title"/>
      </w:pPr>
    </w:p>
    <w:p w14:paraId="6E9D3A39" w14:textId="52948B54" w:rsidR="00FB64EF" w:rsidRPr="007F2B41" w:rsidRDefault="00572B86" w:rsidP="00D550C5">
      <w:pPr>
        <w:pStyle w:val="Title"/>
        <w:rPr>
          <w:rFonts w:ascii="Cambria" w:hAnsi="Cambria"/>
          <w:b w:val="0"/>
        </w:rPr>
      </w:pPr>
      <w:r>
        <w:rPr>
          <w:rFonts w:ascii="Cambria" w:hAnsi="Cambria"/>
          <w:b w:val="0"/>
        </w:rPr>
        <w:t>CRIM1101X</w:t>
      </w:r>
      <w:r w:rsidR="00D550C5" w:rsidRPr="007F2B41">
        <w:rPr>
          <w:rFonts w:ascii="Cambria" w:hAnsi="Cambria"/>
          <w:b w:val="0"/>
        </w:rPr>
        <w:t xml:space="preserve"> - </w:t>
      </w:r>
      <w:r w:rsidR="00DD3E97" w:rsidRPr="007F2B41">
        <w:rPr>
          <w:rFonts w:ascii="Cambria" w:hAnsi="Cambria"/>
          <w:b w:val="0"/>
        </w:rPr>
        <w:t xml:space="preserve">VEP </w:t>
      </w:r>
      <w:r w:rsidR="00D550C5" w:rsidRPr="007F2B41">
        <w:rPr>
          <w:rFonts w:ascii="Cambria" w:hAnsi="Cambria"/>
          <w:b w:val="0"/>
        </w:rPr>
        <w:t>Course Profile</w:t>
      </w:r>
      <w:r w:rsidR="00DD3E97" w:rsidRPr="007F2B41">
        <w:rPr>
          <w:rFonts w:ascii="Cambria" w:hAnsi="Cambria"/>
          <w:b w:val="0"/>
        </w:rPr>
        <w:t xml:space="preserve"> </w:t>
      </w:r>
    </w:p>
    <w:p w14:paraId="20CF84A3" w14:textId="77777777" w:rsidR="005C2A72" w:rsidRPr="005C2A72" w:rsidRDefault="005C2A72" w:rsidP="00D550C5"/>
    <w:p w14:paraId="64BA4E96" w14:textId="77777777" w:rsidR="00095CE7" w:rsidRPr="009B047D" w:rsidRDefault="00095CE7" w:rsidP="00095CE7">
      <w:pPr>
        <w:rPr>
          <w:rFonts w:asciiTheme="minorHAnsi" w:hAnsiTheme="minorHAnsi"/>
        </w:rPr>
      </w:pPr>
      <w:r w:rsidRPr="009B047D">
        <w:rPr>
          <w:rFonts w:asciiTheme="minorHAnsi" w:hAnsiTheme="minorHAnsi"/>
        </w:rPr>
        <w:t xml:space="preserve">This document outlines the course profile for a MOOC or MOOC+VEP companion materials proposed as part of the Virtual Exchange Program (VEP) with ‘MOOCs for Credit’ Alliance Partners.  </w:t>
      </w:r>
    </w:p>
    <w:p w14:paraId="5A65C335" w14:textId="77777777" w:rsidR="00095CE7" w:rsidRPr="009B047D" w:rsidRDefault="00095CE7" w:rsidP="00095CE7">
      <w:pPr>
        <w:rPr>
          <w:rFonts w:asciiTheme="minorHAnsi" w:hAnsiTheme="minorHAnsi"/>
        </w:rPr>
      </w:pPr>
    </w:p>
    <w:p w14:paraId="0CFEA59E" w14:textId="77777777" w:rsidR="00095CE7" w:rsidRPr="009B047D" w:rsidRDefault="00095CE7" w:rsidP="00095CE7">
      <w:pPr>
        <w:rPr>
          <w:rFonts w:asciiTheme="minorHAnsi" w:hAnsiTheme="minorHAnsi"/>
        </w:rPr>
      </w:pPr>
      <w:r w:rsidRPr="009B047D">
        <w:rPr>
          <w:rFonts w:asciiTheme="minorHAnsi" w:hAnsiTheme="minorHAnsi"/>
        </w:rPr>
        <w:t>Included are descriptions of activiti</w:t>
      </w:r>
      <w:r>
        <w:rPr>
          <w:rFonts w:asciiTheme="minorHAnsi" w:hAnsiTheme="minorHAnsi"/>
        </w:rPr>
        <w:t>es and assessments for the MOOC</w:t>
      </w:r>
      <w:r w:rsidRPr="009B047D">
        <w:rPr>
          <w:rFonts w:asciiTheme="minorHAnsi" w:hAnsiTheme="minorHAnsi"/>
        </w:rPr>
        <w:t xml:space="preserve"> and the VEP companion materials. The aim is for the MOOC and the VEP companion materials to be as comparable to the on-campus course as possible given the constraint of a fully on-line delivery.</w:t>
      </w:r>
    </w:p>
    <w:p w14:paraId="20245E51" w14:textId="77777777" w:rsidR="00095CE7" w:rsidRPr="009B047D" w:rsidRDefault="00095CE7" w:rsidP="00095CE7">
      <w:pPr>
        <w:rPr>
          <w:rFonts w:asciiTheme="minorHAnsi" w:hAnsiTheme="minorHAnsi"/>
        </w:rPr>
      </w:pPr>
    </w:p>
    <w:p w14:paraId="2E42FA95" w14:textId="77777777" w:rsidR="00095CE7" w:rsidRPr="009B047D" w:rsidRDefault="00095CE7" w:rsidP="00095CE7">
      <w:pPr>
        <w:rPr>
          <w:rFonts w:asciiTheme="minorHAnsi" w:hAnsiTheme="minorHAnsi"/>
        </w:rPr>
      </w:pPr>
      <w:r w:rsidRPr="009B047D">
        <w:rPr>
          <w:rFonts w:asciiTheme="minorHAnsi" w:hAnsiTheme="minorHAnsi"/>
        </w:rPr>
        <w:t>VEP students will be required to enrol in the Verified Track in the public MOOC and participate in activities for the companion cohort in a variety of ways.</w:t>
      </w:r>
    </w:p>
    <w:p w14:paraId="5A93DF99" w14:textId="77777777" w:rsidR="00095CE7" w:rsidRPr="009B047D" w:rsidRDefault="00095CE7" w:rsidP="00095CE7">
      <w:pPr>
        <w:rPr>
          <w:rFonts w:asciiTheme="minorHAnsi" w:hAnsiTheme="minorHAnsi"/>
        </w:rPr>
      </w:pPr>
    </w:p>
    <w:p w14:paraId="75F5D6A2" w14:textId="77777777" w:rsidR="00095CE7" w:rsidRPr="009B047D" w:rsidRDefault="00095CE7" w:rsidP="00095CE7">
      <w:pPr>
        <w:spacing w:after="160"/>
        <w:rPr>
          <w:rFonts w:asciiTheme="minorHAnsi" w:eastAsia="Times New Roman" w:hAnsiTheme="minorHAnsi"/>
          <w:lang w:eastAsia="en-US"/>
        </w:rPr>
      </w:pPr>
      <w:r w:rsidRPr="009B047D">
        <w:rPr>
          <w:rFonts w:asciiTheme="minorHAnsi" w:hAnsiTheme="minorHAnsi"/>
        </w:rPr>
        <w:t xml:space="preserve">This MOOC is delivered through </w:t>
      </w:r>
      <w:proofErr w:type="spellStart"/>
      <w:r w:rsidRPr="009B047D">
        <w:rPr>
          <w:rFonts w:asciiTheme="minorHAnsi" w:hAnsiTheme="minorHAnsi"/>
        </w:rPr>
        <w:t>edX</w:t>
      </w:r>
      <w:proofErr w:type="spellEnd"/>
      <w:r w:rsidRPr="009B047D">
        <w:rPr>
          <w:rFonts w:asciiTheme="minorHAnsi" w:hAnsiTheme="minorHAnsi"/>
        </w:rPr>
        <w:t xml:space="preserve">. VEP students will be supplied a code to upgrade to the Verified Track. </w:t>
      </w:r>
      <w:r w:rsidRPr="009B047D">
        <w:rPr>
          <w:rFonts w:asciiTheme="minorHAnsi" w:eastAsia="Times New Roman" w:hAnsiTheme="minorHAnsi"/>
          <w:lang w:eastAsia="en-US"/>
        </w:rPr>
        <w:t>VEP students must provide UQ with the email address associated</w:t>
      </w:r>
      <w:bookmarkStart w:id="0" w:name="_GoBack"/>
      <w:bookmarkEnd w:id="0"/>
      <w:r w:rsidRPr="009B047D">
        <w:rPr>
          <w:rFonts w:asciiTheme="minorHAnsi" w:eastAsia="Times New Roman" w:hAnsiTheme="minorHAnsi"/>
          <w:lang w:eastAsia="en-US"/>
        </w:rPr>
        <w:t xml:space="preserve"> with their </w:t>
      </w:r>
      <w:proofErr w:type="spellStart"/>
      <w:r w:rsidRPr="009B047D">
        <w:rPr>
          <w:rFonts w:asciiTheme="minorHAnsi" w:eastAsia="Times New Roman" w:hAnsiTheme="minorHAnsi"/>
          <w:lang w:eastAsia="en-US"/>
        </w:rPr>
        <w:t>edX</w:t>
      </w:r>
      <w:proofErr w:type="spellEnd"/>
      <w:r w:rsidRPr="009B047D">
        <w:rPr>
          <w:rFonts w:asciiTheme="minorHAnsi" w:eastAsia="Times New Roman" w:hAnsiTheme="minorHAnsi"/>
          <w:lang w:eastAsia="en-US"/>
        </w:rPr>
        <w:t xml:space="preserve"> ID. </w:t>
      </w:r>
    </w:p>
    <w:p w14:paraId="7B50E4A4" w14:textId="77777777" w:rsidR="00FB64EF" w:rsidRPr="006C717C" w:rsidRDefault="00FB64EF" w:rsidP="00D550C5"/>
    <w:p w14:paraId="310D25C1" w14:textId="04DD01F9" w:rsidR="008A5535" w:rsidRDefault="00DD3E97" w:rsidP="00C05C71">
      <w:pPr>
        <w:pStyle w:val="Heading1"/>
      </w:pPr>
      <w:r w:rsidRPr="00D550C5">
        <w:rPr>
          <w:rStyle w:val="Strong"/>
          <w:b/>
          <w:bCs/>
        </w:rPr>
        <w:t>Course Name</w:t>
      </w:r>
    </w:p>
    <w:p w14:paraId="59DAC090" w14:textId="6F1E9467" w:rsidR="002B4611" w:rsidRPr="00C05C71" w:rsidRDefault="00572B86" w:rsidP="00D550C5">
      <w:pPr>
        <w:pStyle w:val="Heading2"/>
        <w:rPr>
          <w:rFonts w:asciiTheme="minorHAnsi" w:hAnsiTheme="minorHAnsi"/>
          <w:b w:val="0"/>
          <w:color w:val="auto"/>
          <w:sz w:val="20"/>
          <w:szCs w:val="20"/>
        </w:rPr>
      </w:pPr>
      <w:r>
        <w:rPr>
          <w:rFonts w:asciiTheme="minorHAnsi" w:hAnsiTheme="minorHAnsi"/>
          <w:b w:val="0"/>
          <w:color w:val="auto"/>
          <w:sz w:val="20"/>
          <w:szCs w:val="20"/>
        </w:rPr>
        <w:t>CRIM1101X</w:t>
      </w:r>
      <w:r w:rsidR="002B4611" w:rsidRPr="00C05C71">
        <w:rPr>
          <w:rFonts w:asciiTheme="minorHAnsi" w:hAnsiTheme="minorHAnsi"/>
          <w:b w:val="0"/>
          <w:color w:val="auto"/>
          <w:sz w:val="20"/>
          <w:szCs w:val="20"/>
        </w:rPr>
        <w:t xml:space="preserve"> </w:t>
      </w:r>
      <w:proofErr w:type="gramStart"/>
      <w:r w:rsidR="002B4611" w:rsidRPr="00C05C71">
        <w:rPr>
          <w:rFonts w:asciiTheme="minorHAnsi" w:hAnsiTheme="minorHAnsi"/>
          <w:b w:val="0"/>
          <w:color w:val="auto"/>
          <w:sz w:val="20"/>
          <w:szCs w:val="20"/>
        </w:rPr>
        <w:t>The</w:t>
      </w:r>
      <w:proofErr w:type="gramEnd"/>
      <w:r w:rsidR="002B4611" w:rsidRPr="00C05C71">
        <w:rPr>
          <w:rFonts w:asciiTheme="minorHAnsi" w:hAnsiTheme="minorHAnsi"/>
          <w:b w:val="0"/>
          <w:color w:val="auto"/>
          <w:sz w:val="20"/>
          <w:szCs w:val="20"/>
        </w:rPr>
        <w:t xml:space="preserve"> Psychology of Criminal Justice</w:t>
      </w:r>
    </w:p>
    <w:p w14:paraId="7D1FB8C0" w14:textId="77777777" w:rsidR="009734C0" w:rsidRPr="005C2A72" w:rsidRDefault="009734C0" w:rsidP="00D550C5">
      <w:pPr>
        <w:rPr>
          <w:rStyle w:val="Strong"/>
          <w:sz w:val="12"/>
          <w:szCs w:val="12"/>
        </w:rPr>
      </w:pPr>
    </w:p>
    <w:p w14:paraId="44FFA91E" w14:textId="77777777" w:rsidR="00FB64EF" w:rsidRPr="009734C0" w:rsidRDefault="00DD3E97" w:rsidP="00D550C5">
      <w:pPr>
        <w:rPr>
          <w:rStyle w:val="Strong"/>
          <w:sz w:val="24"/>
          <w:szCs w:val="24"/>
        </w:rPr>
      </w:pPr>
      <w:r w:rsidRPr="009734C0">
        <w:rPr>
          <w:rStyle w:val="Strong"/>
          <w:sz w:val="24"/>
          <w:szCs w:val="24"/>
        </w:rPr>
        <w:t>Equivalent UQ on-campus course code and title</w:t>
      </w:r>
    </w:p>
    <w:p w14:paraId="25B3AEDF" w14:textId="77777777" w:rsidR="002B4611" w:rsidRDefault="002B4611" w:rsidP="00D550C5">
      <w:pPr>
        <w:rPr>
          <w:lang w:val="en-GB"/>
        </w:rPr>
      </w:pPr>
      <w:bookmarkStart w:id="1" w:name="_a7b0k3n0oeap" w:colFirst="0" w:colLast="0"/>
      <w:bookmarkEnd w:id="1"/>
      <w:r w:rsidRPr="002B4611">
        <w:rPr>
          <w:lang w:val="en-GB"/>
        </w:rPr>
        <w:t>PSYC2361 Psychology of Criminal Justice</w:t>
      </w:r>
    </w:p>
    <w:p w14:paraId="7D180950" w14:textId="05CB71FD" w:rsidR="00C251C0" w:rsidRDefault="00572B86" w:rsidP="00D550C5">
      <w:pPr>
        <w:rPr>
          <w:rFonts w:asciiTheme="minorHAnsi" w:hAnsiTheme="minorHAnsi"/>
          <w:color w:val="auto"/>
          <w:lang w:val="en-GB"/>
        </w:rPr>
      </w:pPr>
      <w:hyperlink r:id="rId7" w:history="1">
        <w:r w:rsidR="00C251C0" w:rsidRPr="006F7331">
          <w:rPr>
            <w:rStyle w:val="Hyperlink"/>
            <w:rFonts w:asciiTheme="minorHAnsi" w:hAnsiTheme="minorHAnsi"/>
            <w:lang w:val="en-GB"/>
          </w:rPr>
          <w:t>https://www.uq.edu.au/study/course.html?course_code=PSYC2361</w:t>
        </w:r>
      </w:hyperlink>
    </w:p>
    <w:p w14:paraId="062C572A" w14:textId="77777777" w:rsidR="006C717C" w:rsidRPr="006C717C" w:rsidRDefault="006C717C" w:rsidP="00D550C5">
      <w:pPr>
        <w:rPr>
          <w:rStyle w:val="Strong"/>
          <w:rFonts w:asciiTheme="minorHAnsi" w:hAnsiTheme="minorHAnsi"/>
          <w:sz w:val="24"/>
        </w:rPr>
      </w:pPr>
    </w:p>
    <w:p w14:paraId="22FF178F" w14:textId="7C935101" w:rsidR="00DD144C" w:rsidRPr="00DD144C" w:rsidRDefault="00D550C5" w:rsidP="00D550C5">
      <w:pPr>
        <w:rPr>
          <w:rStyle w:val="Strong"/>
        </w:rPr>
      </w:pPr>
      <w:r w:rsidRPr="001E1A2F">
        <w:rPr>
          <w:rFonts w:ascii="Cambria" w:hAnsi="Cambria"/>
          <w:b/>
          <w:bCs/>
          <w:sz w:val="28"/>
        </w:rPr>
        <w:t>Course Level</w:t>
      </w:r>
    </w:p>
    <w:p w14:paraId="19473069" w14:textId="43ABA3ED" w:rsidR="00D550C5" w:rsidRDefault="00D550C5" w:rsidP="00D550C5">
      <w:pPr>
        <w:rPr>
          <w:rStyle w:val="Strong"/>
          <w:rFonts w:asciiTheme="minorHAnsi" w:hAnsiTheme="minorHAnsi"/>
          <w:b w:val="0"/>
          <w:sz w:val="20"/>
        </w:rPr>
      </w:pPr>
      <w:r w:rsidRPr="001E1A2F">
        <w:rPr>
          <w:rStyle w:val="Strong"/>
          <w:rFonts w:asciiTheme="minorHAnsi" w:hAnsiTheme="minorHAnsi"/>
          <w:b w:val="0"/>
          <w:sz w:val="20"/>
        </w:rPr>
        <w:t>This course is derived from a 2</w:t>
      </w:r>
      <w:r w:rsidRPr="001E1A2F">
        <w:rPr>
          <w:rStyle w:val="Strong"/>
          <w:rFonts w:asciiTheme="minorHAnsi" w:hAnsiTheme="minorHAnsi"/>
          <w:b w:val="0"/>
          <w:sz w:val="20"/>
          <w:vertAlign w:val="superscript"/>
        </w:rPr>
        <w:t>nd</w:t>
      </w:r>
      <w:r w:rsidRPr="001E1A2F">
        <w:rPr>
          <w:rStyle w:val="Strong"/>
          <w:rFonts w:asciiTheme="minorHAnsi" w:hAnsiTheme="minorHAnsi"/>
          <w:b w:val="0"/>
          <w:sz w:val="20"/>
        </w:rPr>
        <w:t xml:space="preserve"> year bachelor level course.</w:t>
      </w:r>
    </w:p>
    <w:p w14:paraId="2ABC80B5" w14:textId="77777777" w:rsidR="00095CE7" w:rsidRPr="00095CE7" w:rsidRDefault="00095CE7" w:rsidP="00D550C5">
      <w:pPr>
        <w:rPr>
          <w:rStyle w:val="Strong"/>
          <w:rFonts w:asciiTheme="minorHAnsi" w:hAnsiTheme="minorHAnsi"/>
          <w:b w:val="0"/>
          <w:sz w:val="20"/>
        </w:rPr>
      </w:pPr>
    </w:p>
    <w:p w14:paraId="2F377FDF" w14:textId="078B0D8B" w:rsidR="00DD144C" w:rsidRPr="00DD144C" w:rsidRDefault="00D550C5" w:rsidP="00D550C5">
      <w:pPr>
        <w:rPr>
          <w:rStyle w:val="Strong"/>
        </w:rPr>
      </w:pPr>
      <w:r w:rsidRPr="001E1A2F">
        <w:rPr>
          <w:rFonts w:ascii="Cambria" w:hAnsi="Cambria"/>
          <w:b/>
          <w:bCs/>
          <w:sz w:val="28"/>
        </w:rPr>
        <w:t>Expected Prior Knowledge</w:t>
      </w:r>
    </w:p>
    <w:p w14:paraId="46F436D2" w14:textId="74016C93" w:rsidR="00D550C5" w:rsidRPr="001E1A2F" w:rsidRDefault="00D550C5" w:rsidP="00D550C5">
      <w:pPr>
        <w:rPr>
          <w:rStyle w:val="Strong"/>
          <w:rFonts w:asciiTheme="minorHAnsi" w:hAnsiTheme="minorHAnsi"/>
          <w:b w:val="0"/>
          <w:sz w:val="20"/>
        </w:rPr>
      </w:pPr>
      <w:r>
        <w:rPr>
          <w:rStyle w:val="Strong"/>
          <w:rFonts w:asciiTheme="minorHAnsi" w:hAnsiTheme="minorHAnsi"/>
          <w:b w:val="0"/>
          <w:sz w:val="20"/>
        </w:rPr>
        <w:t>None.</w:t>
      </w:r>
    </w:p>
    <w:p w14:paraId="21E7FD8B" w14:textId="77777777" w:rsidR="00D550C5" w:rsidRPr="001E1A2F" w:rsidRDefault="00D550C5" w:rsidP="00D550C5">
      <w:pPr>
        <w:rPr>
          <w:rStyle w:val="Strong"/>
        </w:rPr>
      </w:pPr>
    </w:p>
    <w:p w14:paraId="1A137E37" w14:textId="3A978674" w:rsidR="00D550C5" w:rsidRPr="00095CE7" w:rsidRDefault="00D550C5" w:rsidP="00D550C5">
      <w:pPr>
        <w:rPr>
          <w:rStyle w:val="Strong"/>
        </w:rPr>
      </w:pPr>
      <w:r w:rsidRPr="001E1A2F">
        <w:rPr>
          <w:rFonts w:ascii="Cambria" w:hAnsi="Cambria"/>
          <w:b/>
          <w:bCs/>
          <w:sz w:val="28"/>
        </w:rPr>
        <w:t>Unit Value</w:t>
      </w:r>
    </w:p>
    <w:p w14:paraId="78DDC889" w14:textId="77777777" w:rsidR="00D550C5" w:rsidRPr="006F59D7" w:rsidRDefault="00D550C5" w:rsidP="00D550C5">
      <w:pPr>
        <w:rPr>
          <w:rStyle w:val="Strong"/>
          <w:rFonts w:asciiTheme="minorHAnsi" w:hAnsiTheme="minorHAnsi"/>
          <w:b w:val="0"/>
          <w:sz w:val="20"/>
        </w:rPr>
      </w:pPr>
      <w:r w:rsidRPr="001E1A2F">
        <w:rPr>
          <w:rStyle w:val="Strong"/>
          <w:rFonts w:asciiTheme="minorHAnsi" w:hAnsiTheme="minorHAnsi"/>
          <w:b w:val="0"/>
          <w:sz w:val="20"/>
        </w:rPr>
        <w:t xml:space="preserve">2 </w:t>
      </w:r>
      <w:proofErr w:type="gramStart"/>
      <w:r w:rsidRPr="001E1A2F">
        <w:rPr>
          <w:rStyle w:val="Strong"/>
          <w:rFonts w:asciiTheme="minorHAnsi" w:hAnsiTheme="minorHAnsi"/>
          <w:b w:val="0"/>
          <w:sz w:val="20"/>
        </w:rPr>
        <w:t>Units  (</w:t>
      </w:r>
      <w:proofErr w:type="gramEnd"/>
      <w:r w:rsidRPr="001E1A2F">
        <w:rPr>
          <w:rStyle w:val="Strong"/>
          <w:rFonts w:asciiTheme="minorHAnsi" w:hAnsiTheme="minorHAnsi"/>
          <w:b w:val="0"/>
          <w:sz w:val="20"/>
        </w:rPr>
        <w:t>7.5 ECTS)</w:t>
      </w:r>
    </w:p>
    <w:p w14:paraId="6F6337B0" w14:textId="77777777" w:rsidR="00D550C5" w:rsidRDefault="00D550C5" w:rsidP="00D550C5">
      <w:pPr>
        <w:pStyle w:val="Heading1"/>
      </w:pPr>
    </w:p>
    <w:p w14:paraId="22C613F7" w14:textId="3D1FE581" w:rsidR="008A5535" w:rsidRPr="00095CE7" w:rsidRDefault="009734C0" w:rsidP="00095CE7">
      <w:pPr>
        <w:pStyle w:val="Heading1"/>
        <w:rPr>
          <w:rStyle w:val="IntenseReference"/>
          <w:b/>
          <w:color w:val="000000"/>
          <w:sz w:val="28"/>
          <w:szCs w:val="28"/>
        </w:rPr>
      </w:pPr>
      <w:r w:rsidRPr="00D550C5">
        <w:t>Course Aims:</w:t>
      </w:r>
      <w:bookmarkStart w:id="2" w:name="_wrczdwjqbm4" w:colFirst="0" w:colLast="0"/>
      <w:bookmarkStart w:id="3" w:name="_6dulhr58kt9m" w:colFirst="0" w:colLast="0"/>
      <w:bookmarkEnd w:id="2"/>
      <w:bookmarkEnd w:id="3"/>
    </w:p>
    <w:p w14:paraId="2364E65E" w14:textId="68704C94" w:rsidR="00573420" w:rsidRDefault="00572B86" w:rsidP="00573420">
      <w:pPr>
        <w:rPr>
          <w:rStyle w:val="IntenseReference"/>
        </w:rPr>
      </w:pPr>
      <w:r>
        <w:rPr>
          <w:rStyle w:val="IntenseReference"/>
        </w:rPr>
        <w:t>CRIM1101X</w:t>
      </w:r>
      <w:r w:rsidR="003C2FE6">
        <w:rPr>
          <w:rStyle w:val="IntenseReference"/>
        </w:rPr>
        <w:t xml:space="preserve"> MOOC</w:t>
      </w:r>
      <w:bookmarkStart w:id="4" w:name="_klztjvgp9s9z" w:colFirst="0" w:colLast="0"/>
      <w:bookmarkEnd w:id="4"/>
    </w:p>
    <w:p w14:paraId="2C7478AF" w14:textId="4AD84450" w:rsidR="00573420" w:rsidRPr="00573420" w:rsidRDefault="00572B86" w:rsidP="00573420">
      <w:pPr>
        <w:rPr>
          <w:rFonts w:ascii="Cambria" w:hAnsi="Cambria"/>
          <w:b/>
          <w:color w:val="2F5496" w:themeColor="accent5" w:themeShade="BF"/>
          <w:sz w:val="24"/>
          <w:szCs w:val="22"/>
        </w:rPr>
      </w:pPr>
      <w:r>
        <w:rPr>
          <w:rFonts w:asciiTheme="minorHAnsi" w:hAnsiTheme="minorHAnsi"/>
          <w:lang w:val="en-GB"/>
        </w:rPr>
        <w:t>CRIM1101X</w:t>
      </w:r>
      <w:r w:rsidR="00573420" w:rsidRPr="00573420">
        <w:rPr>
          <w:rFonts w:asciiTheme="minorHAnsi" w:hAnsiTheme="minorHAnsi"/>
          <w:lang w:val="en-GB"/>
        </w:rPr>
        <w:t xml:space="preserve"> </w:t>
      </w:r>
      <w:r w:rsidR="00573420" w:rsidRPr="00573420">
        <w:rPr>
          <w:rFonts w:asciiTheme="minorHAnsi" w:hAnsiTheme="minorHAnsi"/>
          <w:color w:val="222222"/>
        </w:rPr>
        <w:t xml:space="preserve">is based around a drama filmed </w:t>
      </w:r>
      <w:r w:rsidR="00573420">
        <w:rPr>
          <w:rFonts w:asciiTheme="minorHAnsi" w:hAnsiTheme="minorHAnsi"/>
          <w:color w:val="222222"/>
        </w:rPr>
        <w:t>specifically</w:t>
      </w:r>
      <w:r w:rsidR="00573420" w:rsidRPr="00573420">
        <w:rPr>
          <w:rFonts w:asciiTheme="minorHAnsi" w:hAnsiTheme="minorHAnsi"/>
          <w:color w:val="222222"/>
        </w:rPr>
        <w:t xml:space="preserve"> for this </w:t>
      </w:r>
      <w:r w:rsidR="00573420">
        <w:rPr>
          <w:rFonts w:asciiTheme="minorHAnsi" w:hAnsiTheme="minorHAnsi"/>
          <w:color w:val="222222"/>
        </w:rPr>
        <w:t>MOOC</w:t>
      </w:r>
      <w:r w:rsidR="00573420" w:rsidRPr="00573420">
        <w:rPr>
          <w:rFonts w:asciiTheme="minorHAnsi" w:hAnsiTheme="minorHAnsi"/>
          <w:color w:val="222222"/>
        </w:rPr>
        <w:t xml:space="preserve">. In this drama you will see the crime unfold, follow </w:t>
      </w:r>
      <w:r w:rsidR="00573420">
        <w:rPr>
          <w:rFonts w:asciiTheme="minorHAnsi" w:hAnsiTheme="minorHAnsi"/>
          <w:color w:val="222222"/>
        </w:rPr>
        <w:t>the investigation and see first-</w:t>
      </w:r>
      <w:r w:rsidR="00573420" w:rsidRPr="00573420">
        <w:rPr>
          <w:rFonts w:asciiTheme="minorHAnsi" w:hAnsiTheme="minorHAnsi"/>
          <w:color w:val="222222"/>
        </w:rPr>
        <w:t>hand the criminal trial.</w:t>
      </w:r>
      <w:r w:rsidR="00573420">
        <w:rPr>
          <w:rFonts w:asciiTheme="minorHAnsi" w:hAnsiTheme="minorHAnsi"/>
          <w:color w:val="222222"/>
        </w:rPr>
        <w:t xml:space="preserve">  </w:t>
      </w:r>
      <w:r w:rsidR="00573420" w:rsidRPr="00573420">
        <w:rPr>
          <w:rFonts w:asciiTheme="minorHAnsi" w:hAnsiTheme="minorHAnsi"/>
          <w:color w:val="222222"/>
        </w:rPr>
        <w:t xml:space="preserve">Using the drama as our starting point </w:t>
      </w:r>
      <w:r w:rsidR="00573420">
        <w:rPr>
          <w:rFonts w:asciiTheme="minorHAnsi" w:hAnsiTheme="minorHAnsi"/>
          <w:color w:val="222222"/>
        </w:rPr>
        <w:t>students</w:t>
      </w:r>
      <w:r w:rsidR="00573420" w:rsidRPr="00573420">
        <w:rPr>
          <w:rFonts w:asciiTheme="minorHAnsi" w:hAnsiTheme="minorHAnsi"/>
          <w:color w:val="222222"/>
        </w:rPr>
        <w:t xml:space="preserve"> will explore topics such as offender profiling, eyewitness memory and recall, interviewing and interrogation, jury selection, pre</w:t>
      </w:r>
      <w:r w:rsidR="00573420">
        <w:rPr>
          <w:rFonts w:asciiTheme="minorHAnsi" w:hAnsiTheme="minorHAnsi"/>
          <w:color w:val="222222"/>
        </w:rPr>
        <w:t>-</w:t>
      </w:r>
      <w:r w:rsidR="00573420" w:rsidRPr="00573420">
        <w:rPr>
          <w:rFonts w:asciiTheme="minorHAnsi" w:hAnsiTheme="minorHAnsi"/>
          <w:color w:val="222222"/>
        </w:rPr>
        <w:t>trial publicity and jury decision-making.</w:t>
      </w:r>
    </w:p>
    <w:p w14:paraId="522C7DD4" w14:textId="77777777" w:rsidR="008A5535" w:rsidRDefault="008A5535" w:rsidP="00D550C5">
      <w:pPr>
        <w:rPr>
          <w:rStyle w:val="IntenseReference"/>
        </w:rPr>
      </w:pPr>
    </w:p>
    <w:p w14:paraId="0FE417E4" w14:textId="4DF78635" w:rsidR="00FB64EF" w:rsidRPr="00032275" w:rsidRDefault="00572B86" w:rsidP="00D550C5">
      <w:pPr>
        <w:rPr>
          <w:rStyle w:val="IntenseReference"/>
        </w:rPr>
      </w:pPr>
      <w:r>
        <w:rPr>
          <w:rStyle w:val="IntenseReference"/>
        </w:rPr>
        <w:t>CRIM1101X</w:t>
      </w:r>
      <w:r w:rsidR="003C2FE6">
        <w:rPr>
          <w:rStyle w:val="IntenseReference"/>
        </w:rPr>
        <w:t xml:space="preserve"> </w:t>
      </w:r>
      <w:r w:rsidR="00095CE7">
        <w:rPr>
          <w:rStyle w:val="IntenseReference"/>
        </w:rPr>
        <w:t>VEP Companion</w:t>
      </w:r>
    </w:p>
    <w:p w14:paraId="0458BC0E" w14:textId="01A1EB2B" w:rsidR="00CA46D8" w:rsidRDefault="00573420" w:rsidP="00CA46D8">
      <w:pPr>
        <w:rPr>
          <w:rFonts w:asciiTheme="minorHAnsi" w:eastAsia="Times New Roman" w:hAnsiTheme="minorHAnsi" w:cs="Times New Roman"/>
          <w:shd w:val="clear" w:color="auto" w:fill="FFFFFF"/>
          <w:lang w:val="en-GB" w:eastAsia="en-GB"/>
        </w:rPr>
      </w:pPr>
      <w:r>
        <w:rPr>
          <w:rFonts w:asciiTheme="minorHAnsi" w:eastAsia="Times New Roman" w:hAnsiTheme="minorHAnsi" w:cs="Times New Roman"/>
          <w:shd w:val="clear" w:color="auto" w:fill="FFFFFF"/>
          <w:lang w:val="en-GB" w:eastAsia="en-GB"/>
        </w:rPr>
        <w:t>Students will systematically explore</w:t>
      </w:r>
      <w:r w:rsidR="00CA46D8" w:rsidRPr="00CA46D8">
        <w:rPr>
          <w:rFonts w:asciiTheme="minorHAnsi" w:eastAsia="Times New Roman" w:hAnsiTheme="minorHAnsi" w:cs="Times New Roman"/>
          <w:shd w:val="clear" w:color="auto" w:fill="FFFFFF"/>
          <w:lang w:val="en-GB" w:eastAsia="en-GB"/>
        </w:rPr>
        <w:t xml:space="preserve"> the effectiveness of the law and justice system from a psychological perspective. By experiencing a fictional case first hand, </w:t>
      </w:r>
      <w:r>
        <w:rPr>
          <w:rFonts w:asciiTheme="minorHAnsi" w:eastAsia="Times New Roman" w:hAnsiTheme="minorHAnsi" w:cs="Times New Roman"/>
          <w:shd w:val="clear" w:color="auto" w:fill="FFFFFF"/>
          <w:lang w:val="en-GB" w:eastAsia="en-GB"/>
        </w:rPr>
        <w:t>students</w:t>
      </w:r>
      <w:r w:rsidR="00CA46D8" w:rsidRPr="00CA46D8">
        <w:rPr>
          <w:rFonts w:asciiTheme="minorHAnsi" w:eastAsia="Times New Roman" w:hAnsiTheme="minorHAnsi" w:cs="Times New Roman"/>
          <w:shd w:val="clear" w:color="auto" w:fill="FFFFFF"/>
          <w:lang w:val="en-GB" w:eastAsia="en-GB"/>
        </w:rPr>
        <w:t xml:space="preserve"> will learn about the psychology of law and some of the misconceptions commonly held about</w:t>
      </w:r>
      <w:r>
        <w:rPr>
          <w:rFonts w:asciiTheme="minorHAnsi" w:eastAsia="Times New Roman" w:hAnsiTheme="minorHAnsi" w:cs="Times New Roman"/>
          <w:shd w:val="clear" w:color="auto" w:fill="FFFFFF"/>
          <w:lang w:val="en-GB" w:eastAsia="en-GB"/>
        </w:rPr>
        <w:t xml:space="preserve"> criminal justice</w:t>
      </w:r>
      <w:r w:rsidR="00CA46D8" w:rsidRPr="00CA46D8">
        <w:rPr>
          <w:rFonts w:asciiTheme="minorHAnsi" w:eastAsia="Times New Roman" w:hAnsiTheme="minorHAnsi" w:cs="Times New Roman"/>
          <w:shd w:val="clear" w:color="auto" w:fill="FFFFFF"/>
          <w:lang w:val="en-GB" w:eastAsia="en-GB"/>
        </w:rPr>
        <w:t>. </w:t>
      </w:r>
    </w:p>
    <w:p w14:paraId="3BC772CA" w14:textId="77777777" w:rsidR="00573420" w:rsidRPr="00CA46D8" w:rsidRDefault="00573420" w:rsidP="00CA46D8">
      <w:pPr>
        <w:rPr>
          <w:rFonts w:asciiTheme="minorHAnsi" w:eastAsia="Times New Roman" w:hAnsiTheme="minorHAnsi" w:cs="Times New Roman"/>
          <w:color w:val="auto"/>
          <w:lang w:val="en-GB" w:eastAsia="en-GB"/>
        </w:rPr>
      </w:pPr>
    </w:p>
    <w:p w14:paraId="04A7120A" w14:textId="3ECCAB16" w:rsidR="00694091" w:rsidRDefault="00095CE7" w:rsidP="00D550C5">
      <w:r>
        <w:t xml:space="preserve">Materials </w:t>
      </w:r>
      <w:r w:rsidR="0010783D">
        <w:t xml:space="preserve">for VEP students </w:t>
      </w:r>
      <w:r>
        <w:t xml:space="preserve">in the companion course </w:t>
      </w:r>
      <w:r w:rsidR="009C3FA6">
        <w:t>are being finalised and may</w:t>
      </w:r>
      <w:r>
        <w:t xml:space="preserve"> comprise</w:t>
      </w:r>
      <w:r w:rsidR="00694091">
        <w:t>:</w:t>
      </w:r>
    </w:p>
    <w:p w14:paraId="54F56893" w14:textId="7A19FBF4" w:rsidR="00694091" w:rsidRPr="00694091" w:rsidRDefault="003B3C0C" w:rsidP="00D550C5">
      <w:pPr>
        <w:pStyle w:val="ListParagraph"/>
        <w:numPr>
          <w:ilvl w:val="0"/>
          <w:numId w:val="21"/>
        </w:numPr>
      </w:pPr>
      <w:r>
        <w:t>a</w:t>
      </w:r>
      <w:r w:rsidR="00DD3E97" w:rsidRPr="00694091">
        <w:t xml:space="preserve">ccess to additional materials from </w:t>
      </w:r>
      <w:r w:rsidR="00191331" w:rsidRPr="00694091">
        <w:t>PSYC2361</w:t>
      </w:r>
      <w:r w:rsidR="00DD3E97" w:rsidRPr="00694091">
        <w:t xml:space="preserve"> not used in </w:t>
      </w:r>
      <w:r w:rsidR="00572B86">
        <w:t>CRIM1101X</w:t>
      </w:r>
      <w:r>
        <w:t>;</w:t>
      </w:r>
    </w:p>
    <w:p w14:paraId="3C75528E" w14:textId="4CCC45F4" w:rsidR="0093011B" w:rsidRPr="00694091" w:rsidRDefault="0010783D" w:rsidP="00D550C5">
      <w:pPr>
        <w:pStyle w:val="ListParagraph"/>
        <w:numPr>
          <w:ilvl w:val="0"/>
          <w:numId w:val="21"/>
        </w:numPr>
      </w:pPr>
      <w:r>
        <w:t xml:space="preserve">additional </w:t>
      </w:r>
      <w:r w:rsidR="003B3C0C">
        <w:t>a</w:t>
      </w:r>
      <w:r w:rsidR="00694091">
        <w:t>ssessments</w:t>
      </w:r>
      <w:r w:rsidR="009C68D9" w:rsidRPr="00694091">
        <w:t xml:space="preserve"> to ensure </w:t>
      </w:r>
      <w:r w:rsidR="00694091">
        <w:t>comparable</w:t>
      </w:r>
      <w:r w:rsidR="009C68D9" w:rsidRPr="00694091">
        <w:t xml:space="preserve"> assessment </w:t>
      </w:r>
      <w:r w:rsidR="00694091">
        <w:t>to PSYC2361</w:t>
      </w:r>
      <w:bookmarkStart w:id="5" w:name="_2zuipf2h432m" w:colFirst="0" w:colLast="0"/>
      <w:bookmarkEnd w:id="5"/>
      <w:r w:rsidR="003B3C0C">
        <w:t>;</w:t>
      </w:r>
    </w:p>
    <w:p w14:paraId="22C0519B" w14:textId="2055C631" w:rsidR="00694091" w:rsidRPr="00694091" w:rsidRDefault="003B3C0C" w:rsidP="00D550C5">
      <w:pPr>
        <w:pStyle w:val="ListParagraph"/>
        <w:numPr>
          <w:ilvl w:val="0"/>
          <w:numId w:val="21"/>
        </w:numPr>
      </w:pPr>
      <w:r>
        <w:lastRenderedPageBreak/>
        <w:t xml:space="preserve">a </w:t>
      </w:r>
      <w:r w:rsidR="00694091" w:rsidRPr="00694091">
        <w:t>discussion forum for students to communicate with course staff.</w:t>
      </w:r>
    </w:p>
    <w:p w14:paraId="6B130D78" w14:textId="77777777" w:rsidR="0010783D" w:rsidRPr="006C717C" w:rsidRDefault="0010783D" w:rsidP="00D550C5"/>
    <w:p w14:paraId="7F316D51" w14:textId="289612A3" w:rsidR="00DD144C" w:rsidRPr="00DD144C" w:rsidRDefault="00DD3E97" w:rsidP="00095CE7">
      <w:pPr>
        <w:pStyle w:val="Heading1"/>
      </w:pPr>
      <w:r w:rsidRPr="00D550C5">
        <w:t>Learning Objectives</w:t>
      </w:r>
    </w:p>
    <w:p w14:paraId="0097BC79" w14:textId="1AD7B67B" w:rsidR="006C717C" w:rsidRPr="006C717C" w:rsidRDefault="00DD3E97" w:rsidP="00D550C5">
      <w:r w:rsidRPr="006C717C">
        <w:t xml:space="preserve">After successfully completing </w:t>
      </w:r>
      <w:r w:rsidR="009C3FA6">
        <w:t xml:space="preserve">the </w:t>
      </w:r>
      <w:r w:rsidR="00572B86">
        <w:t>CRIM1101X</w:t>
      </w:r>
      <w:r w:rsidR="009C3FA6">
        <w:t xml:space="preserve"> MOOC and the </w:t>
      </w:r>
      <w:r w:rsidR="00572B86">
        <w:t>CRIM1101X</w:t>
      </w:r>
      <w:r w:rsidR="009C3FA6">
        <w:t xml:space="preserve"> VEP Companion</w:t>
      </w:r>
      <w:r w:rsidR="009734C0">
        <w:t>,</w:t>
      </w:r>
      <w:r w:rsidRPr="006C717C">
        <w:t xml:space="preserve"> </w:t>
      </w:r>
      <w:r w:rsidR="00D85708">
        <w:t xml:space="preserve">students </w:t>
      </w:r>
      <w:r w:rsidRPr="006C717C">
        <w:t>should be able to:</w:t>
      </w:r>
      <w:bookmarkStart w:id="6" w:name="_yebg3bty2uhf" w:colFirst="0" w:colLast="0"/>
      <w:bookmarkEnd w:id="6"/>
    </w:p>
    <w:p w14:paraId="14241B0B" w14:textId="77777777" w:rsidR="00191331" w:rsidRPr="00191331" w:rsidRDefault="00191331" w:rsidP="00D550C5">
      <w:pPr>
        <w:pStyle w:val="ListParagraph"/>
        <w:numPr>
          <w:ilvl w:val="0"/>
          <w:numId w:val="18"/>
        </w:numPr>
        <w:rPr>
          <w:lang w:val="en-GB"/>
        </w:rPr>
      </w:pPr>
      <w:r w:rsidRPr="00191331">
        <w:rPr>
          <w:lang w:val="en-GB"/>
        </w:rPr>
        <w:t>Identify some of the myths about how the criminal justice system works from a psychological perspective.</w:t>
      </w:r>
    </w:p>
    <w:p w14:paraId="4C449552" w14:textId="482E2B3E" w:rsidR="00FB64EF" w:rsidRPr="008A5535" w:rsidRDefault="00191331" w:rsidP="00D550C5">
      <w:pPr>
        <w:pStyle w:val="ListParagraph"/>
        <w:numPr>
          <w:ilvl w:val="0"/>
          <w:numId w:val="18"/>
        </w:numPr>
      </w:pPr>
      <w:r w:rsidRPr="00191331">
        <w:rPr>
          <w:lang w:val="en-GB"/>
        </w:rPr>
        <w:t>Understand some of the empirical evidence that can inform our understanding of criminal justice and how justice is administered</w:t>
      </w:r>
      <w:r w:rsidR="00DD3E97" w:rsidRPr="008A5535">
        <w:t>.</w:t>
      </w:r>
    </w:p>
    <w:p w14:paraId="3871DCE7" w14:textId="7055D34C" w:rsidR="008A5535" w:rsidRDefault="008A5535" w:rsidP="009C3FA6">
      <w:pPr>
        <w:rPr>
          <w:rStyle w:val="Strong"/>
        </w:rPr>
      </w:pPr>
      <w:bookmarkStart w:id="7" w:name="_9eopzvkpjh4a" w:colFirst="0" w:colLast="0"/>
      <w:bookmarkEnd w:id="7"/>
    </w:p>
    <w:p w14:paraId="09125B9D" w14:textId="2D5FD2F3" w:rsidR="008A5535" w:rsidRPr="009C3FA6" w:rsidRDefault="00DD3E97" w:rsidP="00D550C5">
      <w:pPr>
        <w:rPr>
          <w:rFonts w:ascii="Cambria" w:hAnsi="Cambria"/>
          <w:b/>
          <w:bCs/>
          <w:sz w:val="28"/>
        </w:rPr>
      </w:pPr>
      <w:r w:rsidRPr="006C717C">
        <w:rPr>
          <w:rStyle w:val="Strong"/>
        </w:rPr>
        <w:t>Learning Activities</w:t>
      </w:r>
      <w:bookmarkStart w:id="8" w:name="_op7d1wi09uz3" w:colFirst="0" w:colLast="0"/>
      <w:bookmarkEnd w:id="8"/>
    </w:p>
    <w:p w14:paraId="53F35BB4" w14:textId="367470AD" w:rsidR="00FB64EF" w:rsidRPr="006C717C" w:rsidRDefault="00572B86" w:rsidP="00D550C5">
      <w:pPr>
        <w:pStyle w:val="Heading2"/>
        <w:rPr>
          <w:sz w:val="22"/>
        </w:rPr>
      </w:pPr>
      <w:bookmarkStart w:id="9" w:name="_ekqm5kivi3k" w:colFirst="0" w:colLast="0"/>
      <w:bookmarkEnd w:id="9"/>
      <w:r>
        <w:t>CRIM1101X</w:t>
      </w:r>
      <w:r w:rsidR="003C2FE6">
        <w:t xml:space="preserve"> MOOC</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63"/>
        <w:gridCol w:w="5931"/>
        <w:gridCol w:w="2590"/>
      </w:tblGrid>
      <w:tr w:rsidR="00FB64EF" w:rsidRPr="006C717C" w14:paraId="5D5E71CB" w14:textId="77777777" w:rsidTr="00DD3E97">
        <w:tc>
          <w:tcPr>
            <w:tcW w:w="460" w:type="pct"/>
            <w:shd w:val="clear" w:color="auto" w:fill="FFFFFF" w:themeFill="background1"/>
            <w:tcMar>
              <w:top w:w="100" w:type="dxa"/>
              <w:left w:w="100" w:type="dxa"/>
              <w:bottom w:w="100" w:type="dxa"/>
              <w:right w:w="100" w:type="dxa"/>
            </w:tcMar>
          </w:tcPr>
          <w:p w14:paraId="3A11E35B" w14:textId="77777777" w:rsidR="00FB64EF" w:rsidRPr="000C3E88" w:rsidRDefault="00DD3E97" w:rsidP="00D550C5">
            <w:pPr>
              <w:rPr>
                <w:b/>
              </w:rPr>
            </w:pPr>
            <w:r w:rsidRPr="000C3E88">
              <w:rPr>
                <w:b/>
              </w:rPr>
              <w:t>Week</w:t>
            </w:r>
          </w:p>
        </w:tc>
        <w:tc>
          <w:tcPr>
            <w:tcW w:w="3160" w:type="pct"/>
            <w:shd w:val="clear" w:color="auto" w:fill="FFFFFF" w:themeFill="background1"/>
            <w:tcMar>
              <w:top w:w="100" w:type="dxa"/>
              <w:left w:w="100" w:type="dxa"/>
              <w:bottom w:w="100" w:type="dxa"/>
              <w:right w:w="100" w:type="dxa"/>
            </w:tcMar>
          </w:tcPr>
          <w:p w14:paraId="5B4BE12A" w14:textId="77777777" w:rsidR="00FB64EF" w:rsidRPr="000C3E88" w:rsidRDefault="00DD3E97" w:rsidP="00D550C5">
            <w:pPr>
              <w:rPr>
                <w:b/>
              </w:rPr>
            </w:pPr>
            <w:r w:rsidRPr="000C3E88">
              <w:rPr>
                <w:b/>
              </w:rPr>
              <w:t>Content</w:t>
            </w:r>
          </w:p>
        </w:tc>
        <w:tc>
          <w:tcPr>
            <w:tcW w:w="1380" w:type="pct"/>
            <w:shd w:val="clear" w:color="auto" w:fill="FFFFFF" w:themeFill="background1"/>
            <w:tcMar>
              <w:top w:w="100" w:type="dxa"/>
              <w:left w:w="100" w:type="dxa"/>
              <w:bottom w:w="100" w:type="dxa"/>
              <w:right w:w="100" w:type="dxa"/>
            </w:tcMar>
          </w:tcPr>
          <w:p w14:paraId="0909F090" w14:textId="77777777" w:rsidR="00FB64EF" w:rsidRPr="000C3E88" w:rsidRDefault="00DD3E97" w:rsidP="00D550C5">
            <w:pPr>
              <w:rPr>
                <w:b/>
              </w:rPr>
            </w:pPr>
            <w:r w:rsidRPr="000C3E88">
              <w:rPr>
                <w:b/>
              </w:rPr>
              <w:t>Activities</w:t>
            </w:r>
          </w:p>
        </w:tc>
      </w:tr>
      <w:tr w:rsidR="00410335" w:rsidRPr="006C717C" w14:paraId="4906820E" w14:textId="77777777" w:rsidTr="00DD3E97">
        <w:tc>
          <w:tcPr>
            <w:tcW w:w="460" w:type="pct"/>
            <w:tcMar>
              <w:top w:w="100" w:type="dxa"/>
              <w:left w:w="100" w:type="dxa"/>
              <w:bottom w:w="100" w:type="dxa"/>
              <w:right w:w="100" w:type="dxa"/>
            </w:tcMar>
          </w:tcPr>
          <w:p w14:paraId="0B405C67" w14:textId="77777777" w:rsidR="00410335" w:rsidRPr="006C717C" w:rsidRDefault="00410335" w:rsidP="00D550C5">
            <w:r w:rsidRPr="006C717C">
              <w:t>1</w:t>
            </w:r>
          </w:p>
        </w:tc>
        <w:tc>
          <w:tcPr>
            <w:tcW w:w="3160" w:type="pct"/>
            <w:tcMar>
              <w:top w:w="100" w:type="dxa"/>
              <w:left w:w="100" w:type="dxa"/>
              <w:bottom w:w="100" w:type="dxa"/>
              <w:right w:w="100" w:type="dxa"/>
            </w:tcMar>
          </w:tcPr>
          <w:p w14:paraId="48D6CE9E" w14:textId="797D52F3" w:rsidR="00410335" w:rsidRPr="00410335" w:rsidRDefault="00410335" w:rsidP="00D550C5">
            <w:r w:rsidRPr="00410335">
              <w:t>Introduction</w:t>
            </w:r>
          </w:p>
        </w:tc>
        <w:tc>
          <w:tcPr>
            <w:tcW w:w="1380" w:type="pct"/>
            <w:tcMar>
              <w:top w:w="100" w:type="dxa"/>
              <w:left w:w="100" w:type="dxa"/>
              <w:bottom w:w="100" w:type="dxa"/>
              <w:right w:w="100" w:type="dxa"/>
            </w:tcMar>
          </w:tcPr>
          <w:p w14:paraId="5BB69549" w14:textId="77777777" w:rsidR="00410335" w:rsidRPr="00410335" w:rsidRDefault="00410335" w:rsidP="00D550C5">
            <w:pPr>
              <w:rPr>
                <w:lang w:val="en-GB"/>
              </w:rPr>
            </w:pPr>
            <w:r w:rsidRPr="00410335">
              <w:rPr>
                <w:lang w:val="en-GB"/>
              </w:rPr>
              <w:t>Welcome</w:t>
            </w:r>
          </w:p>
          <w:p w14:paraId="068A06A3" w14:textId="77777777" w:rsidR="00410335" w:rsidRPr="00410335" w:rsidRDefault="00410335" w:rsidP="00D550C5">
            <w:pPr>
              <w:rPr>
                <w:lang w:val="en-GB"/>
              </w:rPr>
            </w:pPr>
            <w:r w:rsidRPr="00410335">
              <w:rPr>
                <w:lang w:val="en-GB"/>
              </w:rPr>
              <w:t>Pre-course quiz</w:t>
            </w:r>
          </w:p>
          <w:p w14:paraId="19FE3A12" w14:textId="3414BE48" w:rsidR="00410335" w:rsidRPr="00032275" w:rsidRDefault="00410335" w:rsidP="00D550C5">
            <w:pPr>
              <w:rPr>
                <w:b/>
              </w:rPr>
            </w:pPr>
            <w:r w:rsidRPr="00410335">
              <w:rPr>
                <w:lang w:val="en-GB"/>
              </w:rPr>
              <w:t>Participation checklist</w:t>
            </w:r>
          </w:p>
        </w:tc>
      </w:tr>
      <w:tr w:rsidR="0010783D" w:rsidRPr="006C717C" w14:paraId="47944872" w14:textId="77777777" w:rsidTr="00DD3E97">
        <w:tc>
          <w:tcPr>
            <w:tcW w:w="460" w:type="pct"/>
            <w:tcMar>
              <w:top w:w="100" w:type="dxa"/>
              <w:left w:w="100" w:type="dxa"/>
              <w:bottom w:w="100" w:type="dxa"/>
              <w:right w:w="100" w:type="dxa"/>
            </w:tcMar>
          </w:tcPr>
          <w:p w14:paraId="19B831CC" w14:textId="77777777" w:rsidR="0010783D" w:rsidRPr="006C717C" w:rsidRDefault="0010783D" w:rsidP="00D550C5">
            <w:r w:rsidRPr="006C717C">
              <w:t>2</w:t>
            </w:r>
          </w:p>
        </w:tc>
        <w:tc>
          <w:tcPr>
            <w:tcW w:w="3160" w:type="pct"/>
            <w:tcMar>
              <w:top w:w="100" w:type="dxa"/>
              <w:left w:w="100" w:type="dxa"/>
              <w:bottom w:w="100" w:type="dxa"/>
              <w:right w:w="100" w:type="dxa"/>
            </w:tcMar>
          </w:tcPr>
          <w:p w14:paraId="46B5C56E" w14:textId="66DB3A28" w:rsidR="0010783D" w:rsidRPr="00410335" w:rsidRDefault="0010783D" w:rsidP="00D550C5">
            <w:r w:rsidRPr="00410335">
              <w:rPr>
                <w:lang w:val="en-GB"/>
              </w:rPr>
              <w:t>The crime / Finding the suspect</w:t>
            </w:r>
          </w:p>
        </w:tc>
        <w:tc>
          <w:tcPr>
            <w:tcW w:w="1380" w:type="pct"/>
            <w:vMerge w:val="restart"/>
            <w:tcMar>
              <w:top w:w="100" w:type="dxa"/>
              <w:left w:w="100" w:type="dxa"/>
              <w:bottom w:w="100" w:type="dxa"/>
              <w:right w:w="100" w:type="dxa"/>
            </w:tcMar>
          </w:tcPr>
          <w:p w14:paraId="7A8A8BF9" w14:textId="77777777" w:rsidR="0010783D" w:rsidRDefault="0010783D" w:rsidP="00D550C5">
            <w:pPr>
              <w:rPr>
                <w:lang w:val="en-GB"/>
              </w:rPr>
            </w:pPr>
          </w:p>
          <w:p w14:paraId="3028C326" w14:textId="77777777" w:rsidR="0010783D" w:rsidRDefault="0010783D" w:rsidP="00D550C5">
            <w:pPr>
              <w:rPr>
                <w:lang w:val="en-GB"/>
              </w:rPr>
            </w:pPr>
          </w:p>
          <w:p w14:paraId="26D34DAA" w14:textId="77777777" w:rsidR="0010783D" w:rsidRDefault="0010783D" w:rsidP="00D550C5">
            <w:pPr>
              <w:rPr>
                <w:lang w:val="en-GB"/>
              </w:rPr>
            </w:pPr>
          </w:p>
          <w:p w14:paraId="135749D4" w14:textId="77777777" w:rsidR="0010783D" w:rsidRDefault="0010783D" w:rsidP="00D550C5">
            <w:pPr>
              <w:rPr>
                <w:lang w:val="en-GB"/>
              </w:rPr>
            </w:pPr>
          </w:p>
          <w:p w14:paraId="162A5823" w14:textId="77777777" w:rsidR="0010783D" w:rsidRDefault="0010783D" w:rsidP="00D550C5">
            <w:pPr>
              <w:rPr>
                <w:lang w:val="en-GB"/>
              </w:rPr>
            </w:pPr>
            <w:r>
              <w:rPr>
                <w:lang w:val="en-GB"/>
              </w:rPr>
              <w:t>Every week:</w:t>
            </w:r>
          </w:p>
          <w:p w14:paraId="24ABC9FB" w14:textId="77777777" w:rsidR="0010783D" w:rsidRPr="0010783D" w:rsidRDefault="0010783D" w:rsidP="0010783D">
            <w:pPr>
              <w:pStyle w:val="ListParagraph"/>
              <w:numPr>
                <w:ilvl w:val="0"/>
                <w:numId w:val="23"/>
              </w:numPr>
              <w:ind w:left="328"/>
              <w:rPr>
                <w:lang w:val="en-GB"/>
              </w:rPr>
            </w:pPr>
            <w:r w:rsidRPr="0010783D">
              <w:rPr>
                <w:lang w:val="en-GB"/>
              </w:rPr>
              <w:t>Active learning sequence</w:t>
            </w:r>
          </w:p>
          <w:p w14:paraId="6D707726" w14:textId="77777777" w:rsidR="0010783D" w:rsidRPr="0010783D" w:rsidRDefault="0010783D" w:rsidP="0010783D">
            <w:pPr>
              <w:pStyle w:val="ListParagraph"/>
              <w:numPr>
                <w:ilvl w:val="0"/>
                <w:numId w:val="23"/>
              </w:numPr>
              <w:ind w:left="328"/>
              <w:rPr>
                <w:lang w:val="en-GB"/>
              </w:rPr>
            </w:pPr>
            <w:r w:rsidRPr="0010783D">
              <w:rPr>
                <w:lang w:val="en-GB"/>
              </w:rPr>
              <w:t>10 question quiz</w:t>
            </w:r>
          </w:p>
          <w:p w14:paraId="1776E74E" w14:textId="0E97EC43" w:rsidR="0010783D" w:rsidRPr="0010783D" w:rsidRDefault="0010783D" w:rsidP="0010783D">
            <w:pPr>
              <w:pStyle w:val="ListParagraph"/>
              <w:numPr>
                <w:ilvl w:val="0"/>
                <w:numId w:val="23"/>
              </w:numPr>
              <w:ind w:left="328"/>
              <w:rPr>
                <w:b/>
              </w:rPr>
            </w:pPr>
            <w:r w:rsidRPr="0010783D">
              <w:rPr>
                <w:lang w:val="en-GB"/>
              </w:rPr>
              <w:t>Participation checklist</w:t>
            </w:r>
          </w:p>
        </w:tc>
      </w:tr>
      <w:tr w:rsidR="0010783D" w:rsidRPr="006C717C" w14:paraId="138EB969" w14:textId="77777777" w:rsidTr="00DD3E97">
        <w:tc>
          <w:tcPr>
            <w:tcW w:w="460" w:type="pct"/>
            <w:tcMar>
              <w:top w:w="100" w:type="dxa"/>
              <w:left w:w="100" w:type="dxa"/>
              <w:bottom w:w="100" w:type="dxa"/>
              <w:right w:w="100" w:type="dxa"/>
            </w:tcMar>
          </w:tcPr>
          <w:p w14:paraId="1EAC153B" w14:textId="718401A4" w:rsidR="0010783D" w:rsidRPr="006C717C" w:rsidRDefault="0010783D" w:rsidP="00D550C5">
            <w:r w:rsidRPr="006C717C">
              <w:t>3</w:t>
            </w:r>
          </w:p>
        </w:tc>
        <w:tc>
          <w:tcPr>
            <w:tcW w:w="3160" w:type="pct"/>
            <w:tcMar>
              <w:top w:w="100" w:type="dxa"/>
              <w:left w:w="100" w:type="dxa"/>
              <w:bottom w:w="100" w:type="dxa"/>
              <w:right w:w="100" w:type="dxa"/>
            </w:tcMar>
          </w:tcPr>
          <w:p w14:paraId="698DE47C" w14:textId="203521D5" w:rsidR="0010783D" w:rsidRPr="00410335" w:rsidRDefault="0010783D" w:rsidP="00D550C5">
            <w:r w:rsidRPr="00410335">
              <w:rPr>
                <w:lang w:val="en-GB"/>
              </w:rPr>
              <w:t>Interviewing witnesses</w:t>
            </w:r>
          </w:p>
        </w:tc>
        <w:tc>
          <w:tcPr>
            <w:tcW w:w="1380" w:type="pct"/>
            <w:vMerge/>
            <w:tcMar>
              <w:top w:w="100" w:type="dxa"/>
              <w:left w:w="100" w:type="dxa"/>
              <w:bottom w:w="100" w:type="dxa"/>
              <w:right w:w="100" w:type="dxa"/>
            </w:tcMar>
          </w:tcPr>
          <w:p w14:paraId="4EC26AF9" w14:textId="5D75A5A5" w:rsidR="0010783D" w:rsidRPr="006C717C" w:rsidRDefault="0010783D" w:rsidP="00D550C5"/>
        </w:tc>
      </w:tr>
      <w:tr w:rsidR="0010783D" w:rsidRPr="006C717C" w14:paraId="2AE4F885" w14:textId="77777777" w:rsidTr="00DD3E97">
        <w:tc>
          <w:tcPr>
            <w:tcW w:w="460" w:type="pct"/>
            <w:tcMar>
              <w:top w:w="100" w:type="dxa"/>
              <w:left w:w="100" w:type="dxa"/>
              <w:bottom w:w="100" w:type="dxa"/>
              <w:right w:w="100" w:type="dxa"/>
            </w:tcMar>
          </w:tcPr>
          <w:p w14:paraId="656BBAA6" w14:textId="77777777" w:rsidR="0010783D" w:rsidRPr="006C717C" w:rsidRDefault="0010783D" w:rsidP="00D550C5">
            <w:r w:rsidRPr="006C717C">
              <w:t>4</w:t>
            </w:r>
          </w:p>
        </w:tc>
        <w:tc>
          <w:tcPr>
            <w:tcW w:w="3160" w:type="pct"/>
            <w:tcMar>
              <w:top w:w="100" w:type="dxa"/>
              <w:left w:w="100" w:type="dxa"/>
              <w:bottom w:w="100" w:type="dxa"/>
              <w:right w:w="100" w:type="dxa"/>
            </w:tcMar>
          </w:tcPr>
          <w:p w14:paraId="248BE3DE" w14:textId="1C1F383A" w:rsidR="0010783D" w:rsidRPr="00410335" w:rsidRDefault="0010783D" w:rsidP="00D550C5">
            <w:r w:rsidRPr="00410335">
              <w:rPr>
                <w:lang w:val="en-GB"/>
              </w:rPr>
              <w:t>Photo</w:t>
            </w:r>
            <w:r w:rsidR="00573420">
              <w:rPr>
                <w:lang w:val="en-GB"/>
              </w:rPr>
              <w:t>-</w:t>
            </w:r>
            <w:r w:rsidRPr="00410335">
              <w:rPr>
                <w:lang w:val="en-GB"/>
              </w:rPr>
              <w:t>fits and line</w:t>
            </w:r>
            <w:r w:rsidR="00573420">
              <w:rPr>
                <w:lang w:val="en-GB"/>
              </w:rPr>
              <w:t>-</w:t>
            </w:r>
            <w:r w:rsidRPr="00410335">
              <w:rPr>
                <w:lang w:val="en-GB"/>
              </w:rPr>
              <w:t>ups</w:t>
            </w:r>
          </w:p>
        </w:tc>
        <w:tc>
          <w:tcPr>
            <w:tcW w:w="1380" w:type="pct"/>
            <w:vMerge/>
            <w:tcMar>
              <w:top w:w="100" w:type="dxa"/>
              <w:left w:w="100" w:type="dxa"/>
              <w:bottom w:w="100" w:type="dxa"/>
              <w:right w:w="100" w:type="dxa"/>
            </w:tcMar>
          </w:tcPr>
          <w:p w14:paraId="3D84CE23" w14:textId="0560A574" w:rsidR="0010783D" w:rsidRPr="00032275" w:rsidRDefault="0010783D" w:rsidP="00D550C5">
            <w:pPr>
              <w:rPr>
                <w:b/>
              </w:rPr>
            </w:pPr>
          </w:p>
        </w:tc>
      </w:tr>
      <w:tr w:rsidR="0010783D" w:rsidRPr="006C717C" w14:paraId="7AC8D389" w14:textId="77777777" w:rsidTr="00DD3E97">
        <w:tc>
          <w:tcPr>
            <w:tcW w:w="460" w:type="pct"/>
            <w:tcMar>
              <w:top w:w="100" w:type="dxa"/>
              <w:left w:w="100" w:type="dxa"/>
              <w:bottom w:w="100" w:type="dxa"/>
              <w:right w:w="100" w:type="dxa"/>
            </w:tcMar>
          </w:tcPr>
          <w:p w14:paraId="2D1EDE0F" w14:textId="77777777" w:rsidR="0010783D" w:rsidRPr="006C717C" w:rsidRDefault="0010783D" w:rsidP="00D550C5">
            <w:r w:rsidRPr="006C717C">
              <w:t>5</w:t>
            </w:r>
          </w:p>
        </w:tc>
        <w:tc>
          <w:tcPr>
            <w:tcW w:w="3160" w:type="pct"/>
            <w:tcMar>
              <w:top w:w="100" w:type="dxa"/>
              <w:left w:w="100" w:type="dxa"/>
              <w:bottom w:w="100" w:type="dxa"/>
              <w:right w:w="100" w:type="dxa"/>
            </w:tcMar>
          </w:tcPr>
          <w:p w14:paraId="1B8616B5" w14:textId="6396B200" w:rsidR="0010783D" w:rsidRPr="00410335" w:rsidRDefault="0010783D" w:rsidP="00D550C5">
            <w:r w:rsidRPr="00410335">
              <w:rPr>
                <w:lang w:val="en-GB"/>
              </w:rPr>
              <w:t>Questioning the suspect</w:t>
            </w:r>
          </w:p>
        </w:tc>
        <w:tc>
          <w:tcPr>
            <w:tcW w:w="1380" w:type="pct"/>
            <w:vMerge/>
            <w:tcMar>
              <w:top w:w="100" w:type="dxa"/>
              <w:left w:w="100" w:type="dxa"/>
              <w:bottom w:w="100" w:type="dxa"/>
              <w:right w:w="100" w:type="dxa"/>
            </w:tcMar>
          </w:tcPr>
          <w:p w14:paraId="5AEE15D8" w14:textId="67B805F1" w:rsidR="0010783D" w:rsidRPr="006C717C" w:rsidRDefault="0010783D" w:rsidP="00D550C5"/>
        </w:tc>
      </w:tr>
      <w:tr w:rsidR="0010783D" w:rsidRPr="006C717C" w14:paraId="7583CC78" w14:textId="77777777" w:rsidTr="00DD3E97">
        <w:tc>
          <w:tcPr>
            <w:tcW w:w="460" w:type="pct"/>
            <w:tcMar>
              <w:top w:w="100" w:type="dxa"/>
              <w:left w:w="100" w:type="dxa"/>
              <w:bottom w:w="100" w:type="dxa"/>
              <w:right w:w="100" w:type="dxa"/>
            </w:tcMar>
          </w:tcPr>
          <w:p w14:paraId="05682755" w14:textId="77777777" w:rsidR="0010783D" w:rsidRPr="006C717C" w:rsidRDefault="0010783D" w:rsidP="00D550C5">
            <w:r w:rsidRPr="006C717C">
              <w:t>6</w:t>
            </w:r>
          </w:p>
        </w:tc>
        <w:tc>
          <w:tcPr>
            <w:tcW w:w="3160" w:type="pct"/>
            <w:tcMar>
              <w:top w:w="100" w:type="dxa"/>
              <w:left w:w="100" w:type="dxa"/>
              <w:bottom w:w="100" w:type="dxa"/>
              <w:right w:w="100" w:type="dxa"/>
            </w:tcMar>
          </w:tcPr>
          <w:p w14:paraId="081F57A0" w14:textId="1B3EF8F3" w:rsidR="0010783D" w:rsidRPr="00410335" w:rsidRDefault="0010783D" w:rsidP="00D550C5">
            <w:r w:rsidRPr="00410335">
              <w:rPr>
                <w:lang w:val="en-GB"/>
              </w:rPr>
              <w:t>Getting ready for trial</w:t>
            </w:r>
          </w:p>
        </w:tc>
        <w:tc>
          <w:tcPr>
            <w:tcW w:w="1380" w:type="pct"/>
            <w:vMerge/>
            <w:tcMar>
              <w:top w:w="100" w:type="dxa"/>
              <w:left w:w="100" w:type="dxa"/>
              <w:bottom w:w="100" w:type="dxa"/>
              <w:right w:w="100" w:type="dxa"/>
            </w:tcMar>
          </w:tcPr>
          <w:p w14:paraId="54705BEF" w14:textId="19C8CE3D" w:rsidR="0010783D" w:rsidRPr="00032275" w:rsidRDefault="0010783D" w:rsidP="00D550C5">
            <w:pPr>
              <w:rPr>
                <w:b/>
              </w:rPr>
            </w:pPr>
          </w:p>
        </w:tc>
      </w:tr>
      <w:tr w:rsidR="0010783D" w:rsidRPr="006C717C" w14:paraId="70CDA8A3" w14:textId="77777777" w:rsidTr="00DD3E97">
        <w:tc>
          <w:tcPr>
            <w:tcW w:w="460" w:type="pct"/>
            <w:tcMar>
              <w:top w:w="100" w:type="dxa"/>
              <w:left w:w="100" w:type="dxa"/>
              <w:bottom w:w="100" w:type="dxa"/>
              <w:right w:w="100" w:type="dxa"/>
            </w:tcMar>
          </w:tcPr>
          <w:p w14:paraId="5C47FFF8" w14:textId="77777777" w:rsidR="0010783D" w:rsidRPr="006C717C" w:rsidRDefault="0010783D" w:rsidP="00D550C5">
            <w:r w:rsidRPr="006C717C">
              <w:t>7</w:t>
            </w:r>
          </w:p>
        </w:tc>
        <w:tc>
          <w:tcPr>
            <w:tcW w:w="3160" w:type="pct"/>
            <w:tcMar>
              <w:top w:w="100" w:type="dxa"/>
              <w:left w:w="100" w:type="dxa"/>
              <w:bottom w:w="100" w:type="dxa"/>
              <w:right w:w="100" w:type="dxa"/>
            </w:tcMar>
          </w:tcPr>
          <w:p w14:paraId="3FC3991B" w14:textId="2F484541" w:rsidR="0010783D" w:rsidRPr="00410335" w:rsidRDefault="0010783D" w:rsidP="00D550C5">
            <w:pPr>
              <w:rPr>
                <w:rFonts w:asciiTheme="minorHAnsi" w:hAnsiTheme="minorHAnsi"/>
              </w:rPr>
            </w:pPr>
            <w:r w:rsidRPr="00410335">
              <w:rPr>
                <w:lang w:val="en-GB"/>
              </w:rPr>
              <w:t>The trial</w:t>
            </w:r>
          </w:p>
        </w:tc>
        <w:tc>
          <w:tcPr>
            <w:tcW w:w="1380" w:type="pct"/>
            <w:vMerge/>
            <w:tcMar>
              <w:top w:w="100" w:type="dxa"/>
              <w:left w:w="100" w:type="dxa"/>
              <w:bottom w:w="100" w:type="dxa"/>
              <w:right w:w="100" w:type="dxa"/>
            </w:tcMar>
          </w:tcPr>
          <w:p w14:paraId="53A4B557" w14:textId="479CABEA" w:rsidR="0010783D" w:rsidRPr="006C717C" w:rsidRDefault="0010783D" w:rsidP="00D550C5"/>
        </w:tc>
      </w:tr>
      <w:tr w:rsidR="0010783D" w:rsidRPr="006C717C" w14:paraId="39B93789" w14:textId="77777777" w:rsidTr="00DD3E97">
        <w:tc>
          <w:tcPr>
            <w:tcW w:w="460" w:type="pct"/>
            <w:tcMar>
              <w:top w:w="100" w:type="dxa"/>
              <w:left w:w="100" w:type="dxa"/>
              <w:bottom w:w="100" w:type="dxa"/>
              <w:right w:w="100" w:type="dxa"/>
            </w:tcMar>
          </w:tcPr>
          <w:p w14:paraId="1CCB73D9" w14:textId="77777777" w:rsidR="0010783D" w:rsidRPr="006C717C" w:rsidRDefault="0010783D" w:rsidP="00D550C5">
            <w:r w:rsidRPr="006C717C">
              <w:t>8</w:t>
            </w:r>
          </w:p>
        </w:tc>
        <w:tc>
          <w:tcPr>
            <w:tcW w:w="3160" w:type="pct"/>
            <w:tcMar>
              <w:top w:w="100" w:type="dxa"/>
              <w:left w:w="100" w:type="dxa"/>
              <w:bottom w:w="100" w:type="dxa"/>
              <w:right w:w="100" w:type="dxa"/>
            </w:tcMar>
          </w:tcPr>
          <w:p w14:paraId="4D57CCEC" w14:textId="3EBD663B" w:rsidR="0010783D" w:rsidRPr="00410335" w:rsidRDefault="0010783D" w:rsidP="00D550C5">
            <w:r w:rsidRPr="00410335">
              <w:rPr>
                <w:lang w:val="en-GB"/>
              </w:rPr>
              <w:t>The jury deliberations</w:t>
            </w:r>
          </w:p>
        </w:tc>
        <w:tc>
          <w:tcPr>
            <w:tcW w:w="1380" w:type="pct"/>
            <w:vMerge/>
            <w:tcMar>
              <w:top w:w="100" w:type="dxa"/>
              <w:left w:w="100" w:type="dxa"/>
              <w:bottom w:w="100" w:type="dxa"/>
              <w:right w:w="100" w:type="dxa"/>
            </w:tcMar>
          </w:tcPr>
          <w:p w14:paraId="12C564D0" w14:textId="607BFADC" w:rsidR="0010783D" w:rsidRPr="00532CD7" w:rsidRDefault="0010783D" w:rsidP="00D550C5">
            <w:pPr>
              <w:rPr>
                <w:lang w:val="en-GB"/>
              </w:rPr>
            </w:pPr>
          </w:p>
        </w:tc>
      </w:tr>
      <w:tr w:rsidR="0010783D" w:rsidRPr="006C717C" w14:paraId="2BE12CD4" w14:textId="77777777" w:rsidTr="00DD3E97">
        <w:tc>
          <w:tcPr>
            <w:tcW w:w="460" w:type="pct"/>
            <w:tcMar>
              <w:top w:w="100" w:type="dxa"/>
              <w:left w:w="100" w:type="dxa"/>
              <w:bottom w:w="100" w:type="dxa"/>
              <w:right w:w="100" w:type="dxa"/>
            </w:tcMar>
          </w:tcPr>
          <w:p w14:paraId="7EF24040" w14:textId="788194B5" w:rsidR="0010783D" w:rsidRPr="006C717C" w:rsidRDefault="0010783D" w:rsidP="00D550C5">
            <w:r>
              <w:t>9</w:t>
            </w:r>
          </w:p>
        </w:tc>
        <w:tc>
          <w:tcPr>
            <w:tcW w:w="3160" w:type="pct"/>
            <w:tcMar>
              <w:top w:w="100" w:type="dxa"/>
              <w:left w:w="100" w:type="dxa"/>
              <w:bottom w:w="100" w:type="dxa"/>
              <w:right w:w="100" w:type="dxa"/>
            </w:tcMar>
          </w:tcPr>
          <w:p w14:paraId="2E97E10B" w14:textId="1E32DFD6" w:rsidR="0010783D" w:rsidRPr="00410335" w:rsidRDefault="0010783D" w:rsidP="00D550C5">
            <w:pPr>
              <w:rPr>
                <w:lang w:val="en-GB"/>
              </w:rPr>
            </w:pPr>
            <w:r>
              <w:rPr>
                <w:lang w:val="en-GB"/>
              </w:rPr>
              <w:t>The Verdict</w:t>
            </w:r>
          </w:p>
        </w:tc>
        <w:tc>
          <w:tcPr>
            <w:tcW w:w="1380" w:type="pct"/>
            <w:vMerge/>
            <w:tcMar>
              <w:top w:w="100" w:type="dxa"/>
              <w:left w:w="100" w:type="dxa"/>
              <w:bottom w:w="100" w:type="dxa"/>
              <w:right w:w="100" w:type="dxa"/>
            </w:tcMar>
          </w:tcPr>
          <w:p w14:paraId="13A13E56" w14:textId="0F53B55F" w:rsidR="0010783D" w:rsidRPr="00410335" w:rsidRDefault="0010783D" w:rsidP="00D550C5">
            <w:pPr>
              <w:rPr>
                <w:lang w:val="en-GB"/>
              </w:rPr>
            </w:pPr>
          </w:p>
        </w:tc>
      </w:tr>
    </w:tbl>
    <w:p w14:paraId="07765F43" w14:textId="7EF14FCF" w:rsidR="00573420" w:rsidRDefault="00572B86" w:rsidP="00573420">
      <w:pPr>
        <w:pStyle w:val="Heading3"/>
        <w:rPr>
          <w:rStyle w:val="IntenseReference"/>
        </w:rPr>
      </w:pPr>
      <w:bookmarkStart w:id="10" w:name="_juzra6ow8d55" w:colFirst="0" w:colLast="0"/>
      <w:bookmarkEnd w:id="10"/>
      <w:r>
        <w:rPr>
          <w:rStyle w:val="IntenseReference"/>
        </w:rPr>
        <w:t>CRIM1101X</w:t>
      </w:r>
      <w:r w:rsidR="003C2FE6">
        <w:rPr>
          <w:rStyle w:val="IntenseReference"/>
        </w:rPr>
        <w:t xml:space="preserve"> </w:t>
      </w:r>
      <w:r w:rsidR="00573420">
        <w:rPr>
          <w:rStyle w:val="IntenseReference"/>
        </w:rPr>
        <w:t>VEP Companion</w:t>
      </w:r>
    </w:p>
    <w:p w14:paraId="75CBD6F5" w14:textId="5C02C874" w:rsidR="00FB64EF" w:rsidRPr="00573420" w:rsidRDefault="00573420" w:rsidP="00573420">
      <w:pPr>
        <w:pStyle w:val="Heading3"/>
        <w:rPr>
          <w:rFonts w:asciiTheme="minorHAnsi" w:hAnsiTheme="minorHAnsi"/>
          <w:b/>
          <w:color w:val="2F5496" w:themeColor="accent5" w:themeShade="BF"/>
          <w:sz w:val="20"/>
          <w:szCs w:val="20"/>
        </w:rPr>
      </w:pPr>
      <w:r>
        <w:rPr>
          <w:rFonts w:asciiTheme="minorHAnsi" w:hAnsiTheme="minorHAnsi"/>
          <w:sz w:val="20"/>
          <w:szCs w:val="20"/>
        </w:rPr>
        <w:t>To be advised.</w:t>
      </w:r>
    </w:p>
    <w:p w14:paraId="28027A01" w14:textId="77777777" w:rsidR="006C717C" w:rsidRDefault="006C717C" w:rsidP="00D550C5">
      <w:pPr>
        <w:pStyle w:val="Heading2"/>
        <w:rPr>
          <w:rStyle w:val="Strong"/>
        </w:rPr>
      </w:pPr>
      <w:bookmarkStart w:id="11" w:name="_3rynylrhmab3" w:colFirst="0" w:colLast="0"/>
      <w:bookmarkEnd w:id="11"/>
    </w:p>
    <w:p w14:paraId="47C76EF9" w14:textId="71D0EF5E" w:rsidR="00D550C5" w:rsidRPr="00D550C5" w:rsidRDefault="00DD3E97" w:rsidP="00573420">
      <w:pPr>
        <w:pStyle w:val="Heading1"/>
      </w:pPr>
      <w:r w:rsidRPr="00D550C5">
        <w:t>Assessment</w:t>
      </w:r>
      <w:bookmarkStart w:id="12" w:name="_9353nbs1umr1" w:colFirst="0" w:colLast="0"/>
      <w:bookmarkEnd w:id="12"/>
      <w:r w:rsidR="00D550C5">
        <w:t>:</w:t>
      </w:r>
    </w:p>
    <w:p w14:paraId="4041A8E4" w14:textId="451E0A8C" w:rsidR="00FB64EF" w:rsidRDefault="00572B86" w:rsidP="00D550C5">
      <w:pPr>
        <w:pStyle w:val="Heading2"/>
      </w:pPr>
      <w:bookmarkStart w:id="13" w:name="_2lonqrmsmctv" w:colFirst="0" w:colLast="0"/>
      <w:bookmarkEnd w:id="13"/>
      <w:r>
        <w:t>CRIM1101X</w:t>
      </w:r>
      <w:r w:rsidR="003C2FE6">
        <w:t xml:space="preserve"> MOOC</w:t>
      </w:r>
    </w:p>
    <w:p w14:paraId="2F61452D" w14:textId="53721D64" w:rsidR="00D550C5" w:rsidRPr="00D550C5" w:rsidRDefault="00D550C5" w:rsidP="00D550C5">
      <w:r>
        <w:t>Pass mark 65%</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610"/>
        <w:gridCol w:w="1774"/>
      </w:tblGrid>
      <w:tr w:rsidR="00FB64EF" w:rsidRPr="006C717C" w14:paraId="68FF0D50" w14:textId="77777777" w:rsidTr="009C46F7">
        <w:trPr>
          <w:trHeight w:val="225"/>
        </w:trPr>
        <w:tc>
          <w:tcPr>
            <w:tcW w:w="4055" w:type="pct"/>
            <w:tcMar>
              <w:top w:w="100" w:type="dxa"/>
              <w:left w:w="100" w:type="dxa"/>
              <w:bottom w:w="100" w:type="dxa"/>
              <w:right w:w="100" w:type="dxa"/>
            </w:tcMar>
          </w:tcPr>
          <w:p w14:paraId="31F8FCC9" w14:textId="77777777" w:rsidR="00FB64EF" w:rsidRPr="00D550C5" w:rsidRDefault="00DD3E97" w:rsidP="00D550C5">
            <w:pPr>
              <w:rPr>
                <w:b/>
              </w:rPr>
            </w:pPr>
            <w:r w:rsidRPr="00D550C5">
              <w:rPr>
                <w:b/>
              </w:rPr>
              <w:t>Assessment Task</w:t>
            </w:r>
          </w:p>
        </w:tc>
        <w:tc>
          <w:tcPr>
            <w:tcW w:w="945" w:type="pct"/>
            <w:tcMar>
              <w:top w:w="100" w:type="dxa"/>
              <w:left w:w="100" w:type="dxa"/>
              <w:bottom w:w="100" w:type="dxa"/>
              <w:right w:w="100" w:type="dxa"/>
            </w:tcMar>
          </w:tcPr>
          <w:p w14:paraId="38066936" w14:textId="77777777" w:rsidR="00FB64EF" w:rsidRPr="00D550C5" w:rsidRDefault="00DD3E97" w:rsidP="00D550C5">
            <w:pPr>
              <w:rPr>
                <w:b/>
              </w:rPr>
            </w:pPr>
            <w:r w:rsidRPr="00D550C5">
              <w:rPr>
                <w:b/>
              </w:rPr>
              <w:t>Weighting</w:t>
            </w:r>
          </w:p>
        </w:tc>
      </w:tr>
      <w:tr w:rsidR="00FB64EF" w:rsidRPr="006C717C" w14:paraId="18C4DB27" w14:textId="77777777" w:rsidTr="009C46F7">
        <w:trPr>
          <w:trHeight w:val="20"/>
        </w:trPr>
        <w:tc>
          <w:tcPr>
            <w:tcW w:w="4055" w:type="pct"/>
            <w:tcMar>
              <w:top w:w="100" w:type="dxa"/>
              <w:left w:w="100" w:type="dxa"/>
              <w:bottom w:w="100" w:type="dxa"/>
              <w:right w:w="100" w:type="dxa"/>
            </w:tcMar>
          </w:tcPr>
          <w:p w14:paraId="1BAEA7F5" w14:textId="063C2324" w:rsidR="00FB64EF" w:rsidRPr="00032275" w:rsidRDefault="00532CD7" w:rsidP="00D550C5">
            <w:r>
              <w:t>8</w:t>
            </w:r>
            <w:r w:rsidR="00DD3E97" w:rsidRPr="00032275">
              <w:t xml:space="preserve"> x weekly quiz</w:t>
            </w:r>
          </w:p>
        </w:tc>
        <w:tc>
          <w:tcPr>
            <w:tcW w:w="945" w:type="pct"/>
            <w:tcMar>
              <w:top w:w="100" w:type="dxa"/>
              <w:left w:w="100" w:type="dxa"/>
              <w:bottom w:w="100" w:type="dxa"/>
              <w:right w:w="100" w:type="dxa"/>
            </w:tcMar>
          </w:tcPr>
          <w:p w14:paraId="166E1914" w14:textId="77777777" w:rsidR="00FB64EF" w:rsidRPr="00032275" w:rsidRDefault="00DD3E97" w:rsidP="00D550C5">
            <w:r w:rsidRPr="00032275">
              <w:t>70%</w:t>
            </w:r>
          </w:p>
        </w:tc>
      </w:tr>
      <w:tr w:rsidR="00FB64EF" w:rsidRPr="006C717C" w14:paraId="6DE0B6D3" w14:textId="77777777" w:rsidTr="009C46F7">
        <w:trPr>
          <w:trHeight w:val="20"/>
        </w:trPr>
        <w:tc>
          <w:tcPr>
            <w:tcW w:w="4055" w:type="pct"/>
            <w:tcMar>
              <w:top w:w="100" w:type="dxa"/>
              <w:left w:w="100" w:type="dxa"/>
              <w:bottom w:w="100" w:type="dxa"/>
              <w:right w:w="100" w:type="dxa"/>
            </w:tcMar>
          </w:tcPr>
          <w:p w14:paraId="53181433" w14:textId="090E23DB" w:rsidR="00FB64EF" w:rsidRPr="00032275" w:rsidRDefault="00532CD7" w:rsidP="00D550C5">
            <w:r>
              <w:rPr>
                <w:lang w:val="en-GB"/>
              </w:rPr>
              <w:t>8</w:t>
            </w:r>
            <w:r w:rsidR="00410335" w:rsidRPr="00410335">
              <w:rPr>
                <w:lang w:val="en-GB"/>
              </w:rPr>
              <w:t xml:space="preserve"> x participation checklists</w:t>
            </w:r>
          </w:p>
        </w:tc>
        <w:tc>
          <w:tcPr>
            <w:tcW w:w="945" w:type="pct"/>
            <w:tcMar>
              <w:top w:w="100" w:type="dxa"/>
              <w:left w:w="100" w:type="dxa"/>
              <w:bottom w:w="100" w:type="dxa"/>
              <w:right w:w="100" w:type="dxa"/>
            </w:tcMar>
          </w:tcPr>
          <w:p w14:paraId="5DCBC8BC" w14:textId="7B2FDE72" w:rsidR="00FB64EF" w:rsidRPr="00032275" w:rsidRDefault="00410335" w:rsidP="00D550C5">
            <w:r>
              <w:t>28</w:t>
            </w:r>
            <w:r w:rsidR="00DD3E97" w:rsidRPr="00032275">
              <w:t>%</w:t>
            </w:r>
          </w:p>
        </w:tc>
      </w:tr>
      <w:tr w:rsidR="00410335" w:rsidRPr="006C717C" w14:paraId="69E11D71" w14:textId="77777777" w:rsidTr="009C46F7">
        <w:trPr>
          <w:trHeight w:val="20"/>
        </w:trPr>
        <w:tc>
          <w:tcPr>
            <w:tcW w:w="4055" w:type="pct"/>
            <w:tcMar>
              <w:top w:w="100" w:type="dxa"/>
              <w:left w:w="100" w:type="dxa"/>
              <w:bottom w:w="100" w:type="dxa"/>
              <w:right w:w="100" w:type="dxa"/>
            </w:tcMar>
          </w:tcPr>
          <w:p w14:paraId="436DFF4A" w14:textId="603D6151" w:rsidR="00410335" w:rsidRPr="00032275" w:rsidRDefault="00410335" w:rsidP="00D550C5">
            <w:r w:rsidRPr="00410335">
              <w:rPr>
                <w:lang w:val="en-GB"/>
              </w:rPr>
              <w:t>Pre-course and post-course quizzes</w:t>
            </w:r>
          </w:p>
        </w:tc>
        <w:tc>
          <w:tcPr>
            <w:tcW w:w="945" w:type="pct"/>
            <w:tcMar>
              <w:top w:w="100" w:type="dxa"/>
              <w:left w:w="100" w:type="dxa"/>
              <w:bottom w:w="100" w:type="dxa"/>
              <w:right w:w="100" w:type="dxa"/>
            </w:tcMar>
          </w:tcPr>
          <w:p w14:paraId="6DE79F8F" w14:textId="7675A9EE" w:rsidR="00410335" w:rsidRPr="00032275" w:rsidRDefault="00410335" w:rsidP="00D550C5">
            <w:r>
              <w:t>2%</w:t>
            </w:r>
          </w:p>
        </w:tc>
      </w:tr>
    </w:tbl>
    <w:p w14:paraId="3078B600" w14:textId="77777777" w:rsidR="003166DE" w:rsidRPr="006C717C" w:rsidRDefault="003166DE" w:rsidP="00D550C5"/>
    <w:p w14:paraId="0ED218D3" w14:textId="66B3023D" w:rsidR="00FB64EF" w:rsidRPr="006C717C" w:rsidRDefault="00572B86" w:rsidP="00D550C5">
      <w:pPr>
        <w:pStyle w:val="Heading2"/>
      </w:pPr>
      <w:bookmarkStart w:id="14" w:name="_46ypwxkro2uy" w:colFirst="0" w:colLast="0"/>
      <w:bookmarkEnd w:id="14"/>
      <w:r>
        <w:t>CRIM1101X</w:t>
      </w:r>
      <w:r w:rsidR="003C2FE6">
        <w:t xml:space="preserve"> </w:t>
      </w:r>
      <w:r w:rsidR="00573420">
        <w:t>VEP Companion</w:t>
      </w:r>
    </w:p>
    <w:p w14:paraId="68542AEF" w14:textId="77777777" w:rsidR="000C361D" w:rsidRPr="00D27487" w:rsidRDefault="000C361D" w:rsidP="000C361D">
      <w:pPr>
        <w:rPr>
          <w:rFonts w:asciiTheme="minorHAnsi" w:hAnsiTheme="minorHAnsi"/>
        </w:rPr>
      </w:pPr>
      <w:r>
        <w:rPr>
          <w:rFonts w:asciiTheme="minorHAnsi" w:hAnsiTheme="minorHAnsi"/>
        </w:rPr>
        <w:t>The f</w:t>
      </w:r>
      <w:r w:rsidRPr="00D27487">
        <w:rPr>
          <w:rFonts w:asciiTheme="minorHAnsi" w:hAnsiTheme="minorHAnsi"/>
        </w:rPr>
        <w:t xml:space="preserve">inal VEP grade is based on the </w:t>
      </w:r>
      <w:r>
        <w:rPr>
          <w:rFonts w:asciiTheme="minorHAnsi" w:hAnsiTheme="minorHAnsi"/>
        </w:rPr>
        <w:t>VEP Companion assessment</w:t>
      </w:r>
      <w:r w:rsidRPr="00D27487">
        <w:rPr>
          <w:rFonts w:asciiTheme="minorHAnsi" w:hAnsiTheme="minorHAnsi"/>
        </w:rPr>
        <w:t xml:space="preserve"> with the provision tha</w:t>
      </w:r>
      <w:r>
        <w:rPr>
          <w:rFonts w:asciiTheme="minorHAnsi" w:hAnsiTheme="minorHAnsi"/>
        </w:rPr>
        <w:t>t a pass in the MOOC assessment</w:t>
      </w:r>
      <w:r w:rsidRPr="00D27487">
        <w:rPr>
          <w:rFonts w:asciiTheme="minorHAnsi" w:hAnsiTheme="minorHAnsi"/>
        </w:rPr>
        <w:t xml:space="preserve"> is required for a VEP pass grade or higher.</w:t>
      </w:r>
      <w:r>
        <w:rPr>
          <w:rFonts w:asciiTheme="minorHAnsi" w:hAnsiTheme="minorHAnsi"/>
        </w:rPr>
        <w:t xml:space="preserve">  The VEP Companion assessment and weighting is currently being finalised.</w:t>
      </w:r>
    </w:p>
    <w:p w14:paraId="34C5BC3E" w14:textId="77777777" w:rsidR="000C361D" w:rsidRDefault="000C361D" w:rsidP="00D550C5"/>
    <w:p w14:paraId="4423DD0F" w14:textId="77777777" w:rsidR="00410335" w:rsidRDefault="00410335" w:rsidP="00D550C5"/>
    <w:p w14:paraId="5D053B21" w14:textId="77777777" w:rsidR="00DD144C" w:rsidRDefault="00DD144C" w:rsidP="00D550C5"/>
    <w:p w14:paraId="1199A9F7" w14:textId="77777777" w:rsidR="000C361D" w:rsidRPr="00503904" w:rsidRDefault="000C361D" w:rsidP="000C361D">
      <w:pPr>
        <w:rPr>
          <w:rFonts w:ascii="Cambria" w:hAnsi="Cambria"/>
          <w:b/>
          <w:sz w:val="28"/>
          <w:szCs w:val="28"/>
        </w:rPr>
      </w:pPr>
      <w:r w:rsidRPr="004F1A03">
        <w:rPr>
          <w:rFonts w:ascii="Cambria" w:hAnsi="Cambria"/>
          <w:b/>
          <w:sz w:val="28"/>
          <w:szCs w:val="28"/>
        </w:rPr>
        <w:lastRenderedPageBreak/>
        <w:t>Key Dates</w:t>
      </w:r>
    </w:p>
    <w:tbl>
      <w:tblPr>
        <w:tblStyle w:val="TableGrid"/>
        <w:tblW w:w="0" w:type="auto"/>
        <w:tblLook w:val="04A0" w:firstRow="1" w:lastRow="0" w:firstColumn="1" w:lastColumn="0" w:noHBand="0" w:noVBand="1"/>
      </w:tblPr>
      <w:tblGrid>
        <w:gridCol w:w="838"/>
        <w:gridCol w:w="6281"/>
      </w:tblGrid>
      <w:tr w:rsidR="000C361D" w:rsidRPr="00D27487" w14:paraId="1154F08B" w14:textId="77777777" w:rsidTr="00BC5D7F">
        <w:tc>
          <w:tcPr>
            <w:tcW w:w="0" w:type="auto"/>
          </w:tcPr>
          <w:p w14:paraId="4F1A27D2" w14:textId="77777777" w:rsidR="000C361D" w:rsidRPr="00D27487" w:rsidRDefault="000C361D" w:rsidP="00BC5D7F">
            <w:pPr>
              <w:rPr>
                <w:rFonts w:asciiTheme="minorHAnsi" w:hAnsiTheme="minorHAnsi"/>
              </w:rPr>
            </w:pPr>
            <w:r w:rsidRPr="00D27487">
              <w:rPr>
                <w:rFonts w:asciiTheme="minorHAnsi" w:hAnsiTheme="minorHAnsi"/>
              </w:rPr>
              <w:t>26 June</w:t>
            </w:r>
          </w:p>
        </w:tc>
        <w:tc>
          <w:tcPr>
            <w:tcW w:w="0" w:type="auto"/>
          </w:tcPr>
          <w:p w14:paraId="39767AE2" w14:textId="77777777" w:rsidR="000C361D" w:rsidRPr="00D27487" w:rsidRDefault="000C361D" w:rsidP="00BC5D7F">
            <w:pPr>
              <w:rPr>
                <w:rFonts w:asciiTheme="minorHAnsi" w:hAnsiTheme="minorHAnsi"/>
              </w:rPr>
            </w:pPr>
            <w:r w:rsidRPr="00D27487">
              <w:rPr>
                <w:rFonts w:asciiTheme="minorHAnsi" w:hAnsiTheme="minorHAnsi"/>
              </w:rPr>
              <w:t>Final date to nominate at home institution</w:t>
            </w:r>
          </w:p>
        </w:tc>
      </w:tr>
      <w:tr w:rsidR="000C361D" w:rsidRPr="00D27487" w14:paraId="3C2F8092" w14:textId="77777777" w:rsidTr="00BC5D7F">
        <w:tc>
          <w:tcPr>
            <w:tcW w:w="0" w:type="auto"/>
          </w:tcPr>
          <w:p w14:paraId="029CC011" w14:textId="77777777" w:rsidR="000C361D" w:rsidRPr="00D27487" w:rsidRDefault="000C361D" w:rsidP="00BC5D7F">
            <w:pPr>
              <w:rPr>
                <w:rFonts w:asciiTheme="minorHAnsi" w:hAnsiTheme="minorHAnsi"/>
              </w:rPr>
            </w:pPr>
            <w:r w:rsidRPr="00D27487">
              <w:rPr>
                <w:rFonts w:asciiTheme="minorHAnsi" w:hAnsiTheme="minorHAnsi"/>
              </w:rPr>
              <w:t>24 July</w:t>
            </w:r>
          </w:p>
        </w:tc>
        <w:tc>
          <w:tcPr>
            <w:tcW w:w="0" w:type="auto"/>
          </w:tcPr>
          <w:p w14:paraId="52810F29" w14:textId="77777777" w:rsidR="000C361D" w:rsidRPr="00D27487" w:rsidRDefault="000C361D" w:rsidP="00BC5D7F">
            <w:pPr>
              <w:rPr>
                <w:rFonts w:asciiTheme="minorHAnsi" w:hAnsiTheme="minorHAnsi"/>
              </w:rPr>
            </w:pPr>
            <w:r w:rsidRPr="00D27487">
              <w:rPr>
                <w:rFonts w:asciiTheme="minorHAnsi" w:hAnsiTheme="minorHAnsi"/>
              </w:rPr>
              <w:t>Commence MOOC study</w:t>
            </w:r>
          </w:p>
        </w:tc>
      </w:tr>
      <w:tr w:rsidR="000C361D" w:rsidRPr="00D27487" w14:paraId="6D6058DA" w14:textId="77777777" w:rsidTr="00BC5D7F">
        <w:trPr>
          <w:trHeight w:val="313"/>
        </w:trPr>
        <w:tc>
          <w:tcPr>
            <w:tcW w:w="0" w:type="auto"/>
          </w:tcPr>
          <w:p w14:paraId="0564485E" w14:textId="77777777" w:rsidR="000C361D" w:rsidRPr="00D27487" w:rsidRDefault="000C361D" w:rsidP="00BC5D7F">
            <w:pPr>
              <w:rPr>
                <w:rFonts w:asciiTheme="minorHAnsi" w:hAnsiTheme="minorHAnsi"/>
              </w:rPr>
            </w:pPr>
            <w:r w:rsidRPr="00D27487">
              <w:rPr>
                <w:rFonts w:asciiTheme="minorHAnsi" w:hAnsiTheme="minorHAnsi"/>
              </w:rPr>
              <w:t>4 Aug</w:t>
            </w:r>
          </w:p>
        </w:tc>
        <w:tc>
          <w:tcPr>
            <w:tcW w:w="0" w:type="auto"/>
          </w:tcPr>
          <w:p w14:paraId="73390421" w14:textId="77777777" w:rsidR="000C361D" w:rsidRPr="00D27487" w:rsidRDefault="000C361D" w:rsidP="00BC5D7F">
            <w:pPr>
              <w:rPr>
                <w:rFonts w:asciiTheme="minorHAnsi" w:hAnsiTheme="minorHAnsi"/>
              </w:rPr>
            </w:pPr>
            <w:r w:rsidRPr="00D27487">
              <w:rPr>
                <w:rFonts w:asciiTheme="minorHAnsi" w:hAnsiTheme="minorHAnsi"/>
              </w:rPr>
              <w:t>Last date to withdraw – no enrolment record retained</w:t>
            </w:r>
          </w:p>
        </w:tc>
      </w:tr>
      <w:tr w:rsidR="000C361D" w:rsidRPr="00D27487" w14:paraId="72820839" w14:textId="77777777" w:rsidTr="00BC5D7F">
        <w:tc>
          <w:tcPr>
            <w:tcW w:w="0" w:type="auto"/>
          </w:tcPr>
          <w:p w14:paraId="243D8E92" w14:textId="77777777" w:rsidR="000C361D" w:rsidRPr="00D27487" w:rsidRDefault="000C361D" w:rsidP="00BC5D7F">
            <w:pPr>
              <w:rPr>
                <w:rFonts w:asciiTheme="minorHAnsi" w:hAnsiTheme="minorHAnsi"/>
              </w:rPr>
            </w:pPr>
            <w:r w:rsidRPr="00D27487">
              <w:rPr>
                <w:rFonts w:asciiTheme="minorHAnsi" w:hAnsiTheme="minorHAnsi"/>
              </w:rPr>
              <w:t>11 Aug</w:t>
            </w:r>
          </w:p>
        </w:tc>
        <w:tc>
          <w:tcPr>
            <w:tcW w:w="0" w:type="auto"/>
          </w:tcPr>
          <w:p w14:paraId="689335C0" w14:textId="77777777" w:rsidR="000C361D" w:rsidRPr="00D27487" w:rsidRDefault="000C361D" w:rsidP="00BC5D7F">
            <w:pPr>
              <w:rPr>
                <w:rFonts w:asciiTheme="minorHAnsi" w:hAnsiTheme="minorHAnsi"/>
              </w:rPr>
            </w:pPr>
            <w:r w:rsidRPr="00D27487">
              <w:rPr>
                <w:rFonts w:asciiTheme="minorHAnsi" w:hAnsiTheme="minorHAnsi"/>
              </w:rPr>
              <w:t>Last date to withdraw – enrolment record retained but no failure recorded</w:t>
            </w:r>
          </w:p>
        </w:tc>
      </w:tr>
      <w:tr w:rsidR="000C361D" w:rsidRPr="00D27487" w14:paraId="0B5631B0" w14:textId="77777777" w:rsidTr="00BC5D7F">
        <w:tc>
          <w:tcPr>
            <w:tcW w:w="0" w:type="auto"/>
          </w:tcPr>
          <w:p w14:paraId="01826E1E" w14:textId="77777777" w:rsidR="000C361D" w:rsidRPr="00D27487" w:rsidRDefault="000C361D" w:rsidP="00BC5D7F">
            <w:pPr>
              <w:rPr>
                <w:rFonts w:asciiTheme="minorHAnsi" w:hAnsiTheme="minorHAnsi"/>
              </w:rPr>
            </w:pPr>
            <w:r w:rsidRPr="00D27487">
              <w:rPr>
                <w:rFonts w:asciiTheme="minorHAnsi" w:hAnsiTheme="minorHAnsi"/>
              </w:rPr>
              <w:t>18 Sept</w:t>
            </w:r>
          </w:p>
        </w:tc>
        <w:tc>
          <w:tcPr>
            <w:tcW w:w="0" w:type="auto"/>
          </w:tcPr>
          <w:p w14:paraId="03C72EAC" w14:textId="77777777" w:rsidR="000C361D" w:rsidRPr="00D27487" w:rsidRDefault="000C361D" w:rsidP="00BC5D7F">
            <w:pPr>
              <w:rPr>
                <w:rFonts w:asciiTheme="minorHAnsi" w:hAnsiTheme="minorHAnsi"/>
              </w:rPr>
            </w:pPr>
            <w:r w:rsidRPr="00D27487">
              <w:rPr>
                <w:rFonts w:asciiTheme="minorHAnsi" w:hAnsiTheme="minorHAnsi"/>
              </w:rPr>
              <w:t>MOOC study ends and final exam period starts</w:t>
            </w:r>
          </w:p>
        </w:tc>
      </w:tr>
      <w:tr w:rsidR="000C361D" w:rsidRPr="00D27487" w14:paraId="5845D5A8" w14:textId="77777777" w:rsidTr="00BC5D7F">
        <w:tc>
          <w:tcPr>
            <w:tcW w:w="0" w:type="auto"/>
          </w:tcPr>
          <w:p w14:paraId="04BCEA91" w14:textId="77777777" w:rsidR="000C361D" w:rsidRPr="00D27487" w:rsidRDefault="000C361D" w:rsidP="00BC5D7F">
            <w:pPr>
              <w:rPr>
                <w:rFonts w:asciiTheme="minorHAnsi" w:hAnsiTheme="minorHAnsi"/>
              </w:rPr>
            </w:pPr>
            <w:r w:rsidRPr="00D27487">
              <w:rPr>
                <w:rFonts w:asciiTheme="minorHAnsi" w:hAnsiTheme="minorHAnsi"/>
              </w:rPr>
              <w:t>25 Sept</w:t>
            </w:r>
          </w:p>
        </w:tc>
        <w:tc>
          <w:tcPr>
            <w:tcW w:w="0" w:type="auto"/>
          </w:tcPr>
          <w:p w14:paraId="5E7F64AB" w14:textId="77777777" w:rsidR="000C361D" w:rsidRPr="00D27487" w:rsidRDefault="000C361D" w:rsidP="00BC5D7F">
            <w:pPr>
              <w:rPr>
                <w:rFonts w:asciiTheme="minorHAnsi" w:hAnsiTheme="minorHAnsi"/>
              </w:rPr>
            </w:pPr>
            <w:r w:rsidRPr="00D27487">
              <w:rPr>
                <w:rFonts w:asciiTheme="minorHAnsi" w:hAnsiTheme="minorHAnsi"/>
              </w:rPr>
              <w:t>Final exam period ends</w:t>
            </w:r>
          </w:p>
        </w:tc>
      </w:tr>
    </w:tbl>
    <w:p w14:paraId="0A2282C6" w14:textId="77777777" w:rsidR="000C361D" w:rsidRDefault="000C361D" w:rsidP="000C361D">
      <w:pPr>
        <w:rPr>
          <w:rStyle w:val="Strong"/>
        </w:rPr>
      </w:pPr>
    </w:p>
    <w:p w14:paraId="68FF9941" w14:textId="77777777" w:rsidR="000C361D" w:rsidRPr="00EA0D17" w:rsidRDefault="000C361D" w:rsidP="000C361D">
      <w:pPr>
        <w:rPr>
          <w:rStyle w:val="Strong"/>
        </w:rPr>
      </w:pPr>
      <w:r w:rsidRPr="00EA0D17">
        <w:rPr>
          <w:rStyle w:val="Strong"/>
        </w:rPr>
        <w:t>Policies</w:t>
      </w:r>
    </w:p>
    <w:p w14:paraId="30A73CB7" w14:textId="77777777" w:rsidR="000C361D" w:rsidRPr="00D27487" w:rsidRDefault="000C361D" w:rsidP="000C361D">
      <w:pPr>
        <w:rPr>
          <w:rFonts w:asciiTheme="minorHAnsi" w:hAnsiTheme="minorHAnsi"/>
          <w:lang w:eastAsia="en-US"/>
        </w:rPr>
      </w:pPr>
      <w:r w:rsidRPr="00D27487">
        <w:rPr>
          <w:rFonts w:asciiTheme="minorHAnsi" w:hAnsiTheme="minorHAnsi"/>
          <w:lang w:eastAsia="en-US"/>
        </w:rPr>
        <w:t xml:space="preserve">The University of Queensland has a suite of policies, procedures and guidelines that are designed to ensure students and staff are aware of their academic obligations and are familiar with administrative aspects of their enrolment at the University. </w:t>
      </w:r>
      <w:r>
        <w:rPr>
          <w:rFonts w:asciiTheme="minorHAnsi" w:hAnsiTheme="minorHAnsi"/>
          <w:lang w:eastAsia="en-US"/>
        </w:rPr>
        <w:t>The</w:t>
      </w:r>
      <w:r w:rsidRPr="00D27487">
        <w:rPr>
          <w:rFonts w:asciiTheme="minorHAnsi" w:hAnsiTheme="minorHAnsi"/>
          <w:lang w:eastAsia="en-US"/>
        </w:rPr>
        <w:t xml:space="preserve"> University’s policies and associated procedures relating to teaching and learning </w:t>
      </w:r>
      <w:r>
        <w:rPr>
          <w:rFonts w:asciiTheme="minorHAnsi" w:hAnsiTheme="minorHAnsi"/>
          <w:lang w:eastAsia="en-US"/>
        </w:rPr>
        <w:t xml:space="preserve">can be found </w:t>
      </w:r>
      <w:r w:rsidRPr="00D27487">
        <w:rPr>
          <w:rFonts w:asciiTheme="minorHAnsi" w:hAnsiTheme="minorHAnsi"/>
          <w:lang w:eastAsia="en-US"/>
        </w:rPr>
        <w:t xml:space="preserve">at:   </w:t>
      </w:r>
      <w:hyperlink r:id="rId8" w:history="1">
        <w:r w:rsidRPr="00D27487">
          <w:rPr>
            <w:rStyle w:val="Hyperlink"/>
            <w:rFonts w:asciiTheme="minorHAnsi" w:eastAsiaTheme="minorHAnsi" w:hAnsiTheme="minorHAnsi"/>
            <w:lang w:eastAsia="en-US"/>
          </w:rPr>
          <w:t>3. Teaching and Learning</w:t>
        </w:r>
      </w:hyperlink>
    </w:p>
    <w:p w14:paraId="1AD0F3C0" w14:textId="77777777" w:rsidR="000C361D" w:rsidRDefault="000C361D" w:rsidP="000C361D">
      <w:pPr>
        <w:rPr>
          <w:rFonts w:asciiTheme="minorHAnsi" w:hAnsiTheme="minorHAnsi"/>
          <w:lang w:eastAsia="en-US"/>
        </w:rPr>
      </w:pPr>
    </w:p>
    <w:p w14:paraId="5D23DA39" w14:textId="77777777" w:rsidR="000C361D" w:rsidRPr="00D27487" w:rsidRDefault="000C361D" w:rsidP="000C361D">
      <w:pPr>
        <w:rPr>
          <w:rFonts w:asciiTheme="minorHAnsi" w:hAnsiTheme="minorHAnsi"/>
          <w:lang w:eastAsia="en-US"/>
        </w:rPr>
      </w:pPr>
      <w:r w:rsidRPr="00D27487">
        <w:rPr>
          <w:rFonts w:asciiTheme="minorHAnsi" w:hAnsiTheme="minorHAnsi"/>
          <w:lang w:eastAsia="en-US"/>
        </w:rPr>
        <w:t xml:space="preserve">Students are expected to undertake the on-line academic integrity tutorial after they have enrolled.  </w:t>
      </w:r>
      <w:r>
        <w:rPr>
          <w:rFonts w:asciiTheme="minorHAnsi" w:hAnsiTheme="minorHAnsi"/>
          <w:lang w:eastAsia="en-US"/>
        </w:rPr>
        <w:t>They</w:t>
      </w:r>
      <w:r w:rsidRPr="00D27487">
        <w:rPr>
          <w:rFonts w:asciiTheme="minorHAnsi" w:hAnsiTheme="minorHAnsi"/>
          <w:lang w:eastAsia="en-US"/>
        </w:rPr>
        <w:t xml:space="preserve"> will be provided with a link to that tutorial when </w:t>
      </w:r>
      <w:r>
        <w:rPr>
          <w:rFonts w:asciiTheme="minorHAnsi" w:hAnsiTheme="minorHAnsi"/>
          <w:lang w:eastAsia="en-US"/>
        </w:rPr>
        <w:t>they</w:t>
      </w:r>
      <w:r w:rsidRPr="00D27487">
        <w:rPr>
          <w:rFonts w:asciiTheme="minorHAnsi" w:hAnsiTheme="minorHAnsi"/>
          <w:lang w:eastAsia="en-US"/>
        </w:rPr>
        <w:t xml:space="preserve"> sign into the University’s student record system called </w:t>
      </w:r>
      <w:proofErr w:type="spellStart"/>
      <w:r w:rsidRPr="00D27487">
        <w:rPr>
          <w:rFonts w:asciiTheme="minorHAnsi" w:hAnsiTheme="minorHAnsi"/>
          <w:lang w:eastAsia="en-US"/>
        </w:rPr>
        <w:t>mySI</w:t>
      </w:r>
      <w:proofErr w:type="spellEnd"/>
      <w:r w:rsidRPr="00D27487">
        <w:rPr>
          <w:rFonts w:asciiTheme="minorHAnsi" w:hAnsiTheme="minorHAnsi"/>
          <w:lang w:eastAsia="en-US"/>
        </w:rPr>
        <w:t>-net.</w:t>
      </w:r>
    </w:p>
    <w:p w14:paraId="4377B5DE" w14:textId="77777777" w:rsidR="000C361D" w:rsidRPr="00EA0D17" w:rsidRDefault="000C361D" w:rsidP="000C361D">
      <w:pPr>
        <w:rPr>
          <w:lang w:eastAsia="en-US"/>
        </w:rPr>
      </w:pPr>
    </w:p>
    <w:p w14:paraId="6288D479" w14:textId="77777777" w:rsidR="000C361D" w:rsidRPr="00EA0D17" w:rsidRDefault="000C361D" w:rsidP="000C361D">
      <w:pPr>
        <w:rPr>
          <w:rStyle w:val="Strong"/>
        </w:rPr>
      </w:pPr>
      <w:r w:rsidRPr="00EA0D17">
        <w:rPr>
          <w:rStyle w:val="Strong"/>
        </w:rPr>
        <w:t>Additional course costs</w:t>
      </w:r>
    </w:p>
    <w:p w14:paraId="364C0318" w14:textId="7EEA07FD" w:rsidR="000C361D" w:rsidRPr="00D052B6" w:rsidRDefault="000C361D" w:rsidP="000C361D">
      <w:pPr>
        <w:spacing w:after="160"/>
        <w:rPr>
          <w:rFonts w:asciiTheme="minorHAnsi" w:eastAsia="Times New Roman" w:hAnsiTheme="minorHAnsi"/>
          <w:lang w:eastAsia="en-US"/>
        </w:rPr>
      </w:pPr>
      <w:r w:rsidRPr="00D27487">
        <w:rPr>
          <w:rFonts w:asciiTheme="minorHAnsi" w:eastAsia="Times New Roman" w:hAnsiTheme="minorHAnsi"/>
          <w:lang w:eastAsia="en-US"/>
        </w:rPr>
        <w:t>VEP students will be supplied a code to enrol, without cost,</w:t>
      </w:r>
      <w:r>
        <w:rPr>
          <w:rFonts w:asciiTheme="minorHAnsi" w:eastAsia="Times New Roman" w:hAnsiTheme="minorHAnsi"/>
          <w:lang w:eastAsia="en-US"/>
        </w:rPr>
        <w:t xml:space="preserve"> in the Verified Track of the </w:t>
      </w:r>
      <w:r w:rsidR="00572B86">
        <w:rPr>
          <w:rFonts w:asciiTheme="minorHAnsi" w:eastAsia="Times New Roman" w:hAnsiTheme="minorHAnsi"/>
          <w:lang w:eastAsia="en-US"/>
        </w:rPr>
        <w:t>CRIM1101X</w:t>
      </w:r>
      <w:r w:rsidRPr="00D27487">
        <w:rPr>
          <w:rFonts w:asciiTheme="minorHAnsi" w:eastAsia="Times New Roman" w:hAnsiTheme="minorHAnsi"/>
          <w:lang w:eastAsia="en-US"/>
        </w:rPr>
        <w:t xml:space="preserve"> MOOC.</w:t>
      </w:r>
    </w:p>
    <w:p w14:paraId="1D1F8118" w14:textId="77777777" w:rsidR="000C361D" w:rsidRPr="009C7F4E" w:rsidRDefault="000C361D" w:rsidP="000C361D">
      <w:pPr>
        <w:rPr>
          <w:rStyle w:val="Strong"/>
        </w:rPr>
      </w:pPr>
      <w:r>
        <w:rPr>
          <w:rStyle w:val="Strong"/>
        </w:rPr>
        <w:t>Support for Students</w:t>
      </w:r>
    </w:p>
    <w:p w14:paraId="5CA8333C" w14:textId="77777777" w:rsidR="000C361D" w:rsidRPr="00D27487" w:rsidRDefault="000C361D" w:rsidP="000C361D">
      <w:pPr>
        <w:rPr>
          <w:rFonts w:asciiTheme="minorHAnsi" w:hAnsiTheme="minorHAnsi"/>
        </w:rPr>
      </w:pPr>
      <w:r w:rsidRPr="00D27487">
        <w:rPr>
          <w:rFonts w:asciiTheme="minorHAnsi" w:hAnsiTheme="minorHAnsi"/>
        </w:rPr>
        <w:t xml:space="preserve">The University offers a number of support services for students. Information on these is available online from </w:t>
      </w:r>
      <w:hyperlink r:id="rId9" w:history="1">
        <w:r w:rsidRPr="00D27487">
          <w:rPr>
            <w:rStyle w:val="Hyperlink"/>
            <w:rFonts w:asciiTheme="minorHAnsi" w:eastAsiaTheme="minorHAnsi" w:hAnsiTheme="minorHAnsi"/>
            <w:bCs/>
          </w:rPr>
          <w:t>Student Services</w:t>
        </w:r>
      </w:hyperlink>
      <w:r w:rsidRPr="00D27487">
        <w:rPr>
          <w:rFonts w:asciiTheme="minorHAnsi" w:hAnsiTheme="minorHAnsi"/>
        </w:rPr>
        <w:t>.</w:t>
      </w:r>
    </w:p>
    <w:p w14:paraId="3BC26382" w14:textId="77777777" w:rsidR="000C361D" w:rsidRPr="009C7F4E" w:rsidRDefault="000C361D" w:rsidP="000C361D"/>
    <w:p w14:paraId="2B703C7B" w14:textId="77777777" w:rsidR="000C361D" w:rsidRPr="009C7F4E" w:rsidRDefault="000C361D" w:rsidP="000C361D">
      <w:pPr>
        <w:rPr>
          <w:rStyle w:val="Strong"/>
          <w:bCs w:val="0"/>
        </w:rPr>
      </w:pPr>
      <w:r>
        <w:rPr>
          <w:rStyle w:val="Strong"/>
          <w:bCs w:val="0"/>
        </w:rPr>
        <w:t>Other Information</w:t>
      </w:r>
    </w:p>
    <w:p w14:paraId="0BCD14C0" w14:textId="77777777" w:rsidR="000C361D" w:rsidRPr="00D27487" w:rsidRDefault="000C361D" w:rsidP="000C361D">
      <w:pPr>
        <w:rPr>
          <w:rFonts w:asciiTheme="minorHAnsi" w:hAnsiTheme="minorHAnsi"/>
        </w:rPr>
      </w:pPr>
      <w:r w:rsidRPr="00D27487">
        <w:rPr>
          <w:rFonts w:asciiTheme="minorHAnsi" w:hAnsiTheme="minorHAnsi"/>
        </w:rPr>
        <w:t xml:space="preserve">To enrich the portfolio of students, UQ and a number of other leading universities started the ‘Credits for MOOCs’ project. Students are able to benefit from the available MOOCs offered by experts in the field by incorporating these MOOCs in their study program, usually as elective credit. </w:t>
      </w:r>
    </w:p>
    <w:p w14:paraId="55A1C9F6" w14:textId="77777777" w:rsidR="000C361D" w:rsidRPr="00EA0D17" w:rsidRDefault="000C361D" w:rsidP="000C361D"/>
    <w:p w14:paraId="3ACDD5C2" w14:textId="77777777" w:rsidR="000C361D" w:rsidRPr="009C7F4E" w:rsidRDefault="000C361D" w:rsidP="000C361D">
      <w:pPr>
        <w:rPr>
          <w:rStyle w:val="Strong"/>
          <w:bCs w:val="0"/>
        </w:rPr>
      </w:pPr>
      <w:r>
        <w:rPr>
          <w:rStyle w:val="Strong"/>
          <w:bCs w:val="0"/>
        </w:rPr>
        <w:t>Application/Enrolment</w:t>
      </w:r>
    </w:p>
    <w:p w14:paraId="058E42D4" w14:textId="77777777" w:rsidR="000C361D" w:rsidRPr="00D27487" w:rsidRDefault="000C361D" w:rsidP="000C361D">
      <w:pPr>
        <w:rPr>
          <w:rFonts w:asciiTheme="minorHAnsi" w:hAnsiTheme="minorHAnsi"/>
        </w:rPr>
      </w:pPr>
      <w:r w:rsidRPr="00D27487">
        <w:rPr>
          <w:rFonts w:asciiTheme="minorHAnsi" w:hAnsiTheme="minorHAnsi"/>
        </w:rPr>
        <w:t>This course is open to a limited number of students from Credit for MOOCs partner institutions.</w:t>
      </w:r>
    </w:p>
    <w:p w14:paraId="3DA68034" w14:textId="77777777" w:rsidR="000C361D" w:rsidRPr="00D27487" w:rsidRDefault="000C361D" w:rsidP="000C361D">
      <w:pPr>
        <w:rPr>
          <w:rFonts w:asciiTheme="minorHAnsi" w:hAnsiTheme="minorHAnsi"/>
        </w:rPr>
      </w:pPr>
    </w:p>
    <w:p w14:paraId="3D464F88" w14:textId="77777777" w:rsidR="000C361D" w:rsidRPr="00D27487" w:rsidRDefault="000C361D" w:rsidP="000C361D">
      <w:pPr>
        <w:rPr>
          <w:rFonts w:asciiTheme="minorHAnsi" w:hAnsiTheme="minorHAnsi"/>
        </w:rPr>
      </w:pPr>
      <w:r>
        <w:rPr>
          <w:rFonts w:asciiTheme="minorHAnsi" w:hAnsiTheme="minorHAnsi"/>
        </w:rPr>
        <w:t>Students must</w:t>
      </w:r>
      <w:r w:rsidRPr="00D27487">
        <w:rPr>
          <w:rFonts w:asciiTheme="minorHAnsi" w:hAnsiTheme="minorHAnsi"/>
        </w:rPr>
        <w:t xml:space="preserve"> contact </w:t>
      </w:r>
      <w:r>
        <w:rPr>
          <w:rFonts w:asciiTheme="minorHAnsi" w:hAnsiTheme="minorHAnsi"/>
        </w:rPr>
        <w:t>their</w:t>
      </w:r>
      <w:r w:rsidRPr="00D27487">
        <w:rPr>
          <w:rFonts w:asciiTheme="minorHAnsi" w:hAnsiTheme="minorHAnsi"/>
        </w:rPr>
        <w:t xml:space="preserve"> home institution for details.  UQ will not accept applications from individual students.</w:t>
      </w:r>
    </w:p>
    <w:p w14:paraId="595921F5" w14:textId="09026E18" w:rsidR="00D550C5" w:rsidRPr="006C717C" w:rsidRDefault="00D550C5" w:rsidP="000C361D"/>
    <w:sectPr w:rsidR="00D550C5" w:rsidRPr="006C717C" w:rsidSect="005C2A72">
      <w:pgSz w:w="12240" w:h="15840"/>
      <w:pgMar w:top="851" w:right="1418" w:bottom="567"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AA8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84246"/>
    <w:multiLevelType w:val="hybridMultilevel"/>
    <w:tmpl w:val="6ECE5448"/>
    <w:lvl w:ilvl="0" w:tplc="6CE89020">
      <w:start w:val="5"/>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C347F2"/>
    <w:multiLevelType w:val="multilevel"/>
    <w:tmpl w:val="A69C48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6EE1242"/>
    <w:multiLevelType w:val="hybridMultilevel"/>
    <w:tmpl w:val="3362A0C8"/>
    <w:lvl w:ilvl="0" w:tplc="7BBC53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E2F62"/>
    <w:multiLevelType w:val="hybridMultilevel"/>
    <w:tmpl w:val="04EC401E"/>
    <w:lvl w:ilvl="0" w:tplc="6CE89020">
      <w:start w:val="5"/>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05984"/>
    <w:multiLevelType w:val="hybridMultilevel"/>
    <w:tmpl w:val="DE9203DE"/>
    <w:lvl w:ilvl="0" w:tplc="6CE89020">
      <w:start w:val="5"/>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BE303E"/>
    <w:multiLevelType w:val="hybridMultilevel"/>
    <w:tmpl w:val="AB22E6FA"/>
    <w:lvl w:ilvl="0" w:tplc="FE165CD4">
      <w:start w:val="1"/>
      <w:numFmt w:val="decimal"/>
      <w:lvlText w:val="%1."/>
      <w:lvlJc w:val="left"/>
      <w:pPr>
        <w:ind w:left="360" w:hanging="360"/>
      </w:pPr>
      <w:rPr>
        <w:rFonts w:ascii="Cambria" w:hAnsi="Cambria"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0C09C8"/>
    <w:multiLevelType w:val="hybridMultilevel"/>
    <w:tmpl w:val="E31434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73623A"/>
    <w:multiLevelType w:val="hybridMultilevel"/>
    <w:tmpl w:val="5150D8CA"/>
    <w:lvl w:ilvl="0" w:tplc="ED4ABFE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2B3DE7"/>
    <w:multiLevelType w:val="hybridMultilevel"/>
    <w:tmpl w:val="19309FCE"/>
    <w:lvl w:ilvl="0" w:tplc="7BBC534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7BA16C2"/>
    <w:multiLevelType w:val="multilevel"/>
    <w:tmpl w:val="6A629C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18831E0"/>
    <w:multiLevelType w:val="hybridMultilevel"/>
    <w:tmpl w:val="270EBC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4C1192"/>
    <w:multiLevelType w:val="hybridMultilevel"/>
    <w:tmpl w:val="65421C56"/>
    <w:lvl w:ilvl="0" w:tplc="BCF222CC">
      <w:start w:val="10"/>
      <w:numFmt w:val="bullet"/>
      <w:lvlText w:val="-"/>
      <w:lvlJc w:val="left"/>
      <w:pPr>
        <w:ind w:left="360" w:hanging="360"/>
      </w:pPr>
      <w:rPr>
        <w:rFonts w:ascii="Calibri" w:eastAsia="Arial"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594A27"/>
    <w:multiLevelType w:val="hybridMultilevel"/>
    <w:tmpl w:val="E74E4232"/>
    <w:lvl w:ilvl="0" w:tplc="6CE89020">
      <w:start w:val="5"/>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EE6486"/>
    <w:multiLevelType w:val="hybridMultilevel"/>
    <w:tmpl w:val="4D80B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2B25DB"/>
    <w:multiLevelType w:val="hybridMultilevel"/>
    <w:tmpl w:val="0F849590"/>
    <w:lvl w:ilvl="0" w:tplc="6CE89020">
      <w:start w:val="5"/>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C3A5653"/>
    <w:multiLevelType w:val="hybridMultilevel"/>
    <w:tmpl w:val="12665674"/>
    <w:lvl w:ilvl="0" w:tplc="6CE89020">
      <w:start w:val="5"/>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CF5652"/>
    <w:multiLevelType w:val="hybridMultilevel"/>
    <w:tmpl w:val="9A38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C3339"/>
    <w:multiLevelType w:val="hybridMultilevel"/>
    <w:tmpl w:val="7E8AFB3E"/>
    <w:lvl w:ilvl="0" w:tplc="7BBC53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3F5DF3"/>
    <w:multiLevelType w:val="hybridMultilevel"/>
    <w:tmpl w:val="EED4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A584F"/>
    <w:multiLevelType w:val="hybridMultilevel"/>
    <w:tmpl w:val="1A2A397A"/>
    <w:lvl w:ilvl="0" w:tplc="7BBC534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462196A"/>
    <w:multiLevelType w:val="hybridMultilevel"/>
    <w:tmpl w:val="3864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4157"/>
    <w:multiLevelType w:val="hybridMultilevel"/>
    <w:tmpl w:val="F04C40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
  </w:num>
  <w:num w:numId="3">
    <w:abstractNumId w:val="3"/>
  </w:num>
  <w:num w:numId="4">
    <w:abstractNumId w:val="8"/>
  </w:num>
  <w:num w:numId="5">
    <w:abstractNumId w:val="18"/>
  </w:num>
  <w:num w:numId="6">
    <w:abstractNumId w:val="22"/>
  </w:num>
  <w:num w:numId="7">
    <w:abstractNumId w:val="6"/>
  </w:num>
  <w:num w:numId="8">
    <w:abstractNumId w:val="9"/>
  </w:num>
  <w:num w:numId="9">
    <w:abstractNumId w:val="20"/>
  </w:num>
  <w:num w:numId="10">
    <w:abstractNumId w:val="11"/>
  </w:num>
  <w:num w:numId="11">
    <w:abstractNumId w:val="12"/>
  </w:num>
  <w:num w:numId="12">
    <w:abstractNumId w:val="16"/>
  </w:num>
  <w:num w:numId="13">
    <w:abstractNumId w:val="15"/>
  </w:num>
  <w:num w:numId="14">
    <w:abstractNumId w:val="4"/>
  </w:num>
  <w:num w:numId="15">
    <w:abstractNumId w:val="1"/>
  </w:num>
  <w:num w:numId="16">
    <w:abstractNumId w:val="5"/>
  </w:num>
  <w:num w:numId="17">
    <w:abstractNumId w:val="13"/>
  </w:num>
  <w:num w:numId="18">
    <w:abstractNumId w:val="7"/>
  </w:num>
  <w:num w:numId="19">
    <w:abstractNumId w:val="14"/>
  </w:num>
  <w:num w:numId="20">
    <w:abstractNumId w:val="21"/>
  </w:num>
  <w:num w:numId="21">
    <w:abstractNumId w:val="17"/>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EF"/>
    <w:rsid w:val="00032275"/>
    <w:rsid w:val="00095CE7"/>
    <w:rsid w:val="000C361D"/>
    <w:rsid w:val="000C3E88"/>
    <w:rsid w:val="0010783D"/>
    <w:rsid w:val="0013327D"/>
    <w:rsid w:val="00181AD1"/>
    <w:rsid w:val="00191331"/>
    <w:rsid w:val="002B4611"/>
    <w:rsid w:val="003166DE"/>
    <w:rsid w:val="003B3C0C"/>
    <w:rsid w:val="003C2FE6"/>
    <w:rsid w:val="00410335"/>
    <w:rsid w:val="00464951"/>
    <w:rsid w:val="004F74B2"/>
    <w:rsid w:val="00532CD7"/>
    <w:rsid w:val="00572B86"/>
    <w:rsid w:val="00573420"/>
    <w:rsid w:val="00575BB8"/>
    <w:rsid w:val="005C2A72"/>
    <w:rsid w:val="005E0F79"/>
    <w:rsid w:val="00694091"/>
    <w:rsid w:val="006C717C"/>
    <w:rsid w:val="007D4526"/>
    <w:rsid w:val="007F12CC"/>
    <w:rsid w:val="007F2B41"/>
    <w:rsid w:val="00830034"/>
    <w:rsid w:val="008A5535"/>
    <w:rsid w:val="008E42BB"/>
    <w:rsid w:val="0093011B"/>
    <w:rsid w:val="0093473E"/>
    <w:rsid w:val="009734C0"/>
    <w:rsid w:val="009C3FA6"/>
    <w:rsid w:val="009C46F7"/>
    <w:rsid w:val="009C68D9"/>
    <w:rsid w:val="00B010DE"/>
    <w:rsid w:val="00B971E5"/>
    <w:rsid w:val="00C049A8"/>
    <w:rsid w:val="00C05C71"/>
    <w:rsid w:val="00C251C0"/>
    <w:rsid w:val="00C755E5"/>
    <w:rsid w:val="00CA46D8"/>
    <w:rsid w:val="00D550C5"/>
    <w:rsid w:val="00D85708"/>
    <w:rsid w:val="00DD144C"/>
    <w:rsid w:val="00DD3E97"/>
    <w:rsid w:val="00DF5B06"/>
    <w:rsid w:val="00E73BF9"/>
    <w:rsid w:val="00EA1BD8"/>
    <w:rsid w:val="00F7156B"/>
    <w:rsid w:val="00FB64EF"/>
    <w:rsid w:val="00FF1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714B"/>
  <w15:docId w15:val="{12BD3627-67C2-4CD2-80F6-135B933C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50C5"/>
    <w:pPr>
      <w:spacing w:line="240" w:lineRule="auto"/>
    </w:pPr>
    <w:rPr>
      <w:rFonts w:ascii="Calibri" w:hAnsi="Calibri"/>
      <w:sz w:val="20"/>
      <w:szCs w:val="20"/>
    </w:rPr>
  </w:style>
  <w:style w:type="paragraph" w:styleId="Heading1">
    <w:name w:val="heading 1"/>
    <w:basedOn w:val="Normal"/>
    <w:next w:val="Normal"/>
    <w:rsid w:val="00D550C5"/>
    <w:pPr>
      <w:outlineLvl w:val="0"/>
    </w:pPr>
    <w:rPr>
      <w:rFonts w:ascii="Cambria" w:hAnsi="Cambria"/>
      <w:b/>
      <w:bCs/>
      <w:sz w:val="28"/>
      <w:szCs w:val="28"/>
    </w:rPr>
  </w:style>
  <w:style w:type="paragraph" w:styleId="Heading2">
    <w:name w:val="heading 2"/>
    <w:basedOn w:val="Heading1"/>
    <w:next w:val="Normal"/>
    <w:rsid w:val="00D550C5"/>
    <w:pPr>
      <w:outlineLvl w:val="1"/>
    </w:pPr>
    <w:rPr>
      <w:color w:val="2F5496" w:themeColor="accent5" w:themeShade="BF"/>
      <w:sz w:val="24"/>
      <w:szCs w:val="24"/>
      <w:lang w:val="en-G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50C5"/>
    <w:pPr>
      <w:keepNext/>
      <w:keepLines/>
      <w:spacing w:after="60"/>
      <w:contextualSpacing/>
    </w:pPr>
    <w:rPr>
      <w:b/>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Strong">
    <w:name w:val="Strong"/>
    <w:basedOn w:val="DefaultParagraphFont"/>
    <w:uiPriority w:val="22"/>
    <w:qFormat/>
    <w:rsid w:val="006C717C"/>
    <w:rPr>
      <w:rFonts w:ascii="Cambria" w:hAnsi="Cambria"/>
      <w:b/>
      <w:bCs/>
      <w:sz w:val="28"/>
    </w:rPr>
  </w:style>
  <w:style w:type="paragraph" w:styleId="ListParagraph">
    <w:name w:val="List Paragraph"/>
    <w:basedOn w:val="Normal"/>
    <w:uiPriority w:val="34"/>
    <w:qFormat/>
    <w:rsid w:val="0093011B"/>
    <w:pPr>
      <w:ind w:left="720"/>
      <w:contextualSpacing/>
    </w:pPr>
  </w:style>
  <w:style w:type="character" w:styleId="IntenseReference">
    <w:name w:val="Intense Reference"/>
    <w:uiPriority w:val="32"/>
    <w:qFormat/>
    <w:rsid w:val="00032275"/>
    <w:rPr>
      <w:rFonts w:ascii="Cambria" w:hAnsi="Cambria"/>
      <w:b/>
      <w:color w:val="2F5496" w:themeColor="accent5" w:themeShade="BF"/>
      <w:sz w:val="24"/>
      <w:szCs w:val="22"/>
    </w:rPr>
  </w:style>
  <w:style w:type="character" w:styleId="Hyperlink">
    <w:name w:val="Hyperlink"/>
    <w:basedOn w:val="DefaultParagraphFont"/>
    <w:uiPriority w:val="99"/>
    <w:unhideWhenUsed/>
    <w:rsid w:val="00C251C0"/>
    <w:rPr>
      <w:color w:val="0563C1" w:themeColor="hyperlink"/>
      <w:u w:val="single"/>
    </w:rPr>
  </w:style>
  <w:style w:type="table" w:styleId="TableGrid">
    <w:name w:val="Table Grid"/>
    <w:basedOn w:val="TableNormal"/>
    <w:uiPriority w:val="39"/>
    <w:rsid w:val="00D55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0034"/>
    <w:rPr>
      <w:color w:val="954F72" w:themeColor="followedHyperlink"/>
      <w:u w:val="single"/>
    </w:rPr>
  </w:style>
  <w:style w:type="paragraph" w:styleId="NormalWeb">
    <w:name w:val="Normal (Web)"/>
    <w:basedOn w:val="Normal"/>
    <w:uiPriority w:val="99"/>
    <w:semiHidden/>
    <w:unhideWhenUsed/>
    <w:rsid w:val="00573420"/>
    <w:pPr>
      <w:spacing w:before="100" w:beforeAutospacing="1" w:after="100" w:afterAutospacing="1"/>
    </w:pPr>
    <w:rPr>
      <w:rFonts w:ascii="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99089">
      <w:bodyDiv w:val="1"/>
      <w:marLeft w:val="0"/>
      <w:marRight w:val="0"/>
      <w:marTop w:val="0"/>
      <w:marBottom w:val="0"/>
      <w:divBdr>
        <w:top w:val="none" w:sz="0" w:space="0" w:color="auto"/>
        <w:left w:val="none" w:sz="0" w:space="0" w:color="auto"/>
        <w:bottom w:val="none" w:sz="0" w:space="0" w:color="auto"/>
        <w:right w:val="none" w:sz="0" w:space="0" w:color="auto"/>
      </w:divBdr>
    </w:div>
    <w:div w:id="1897862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pl.app.uq.edu.au/content/3.-teaching-and-learning" TargetMode="External"/><Relationship Id="rId3" Type="http://schemas.openxmlformats.org/officeDocument/2006/relationships/styles" Target="styles.xml"/><Relationship Id="rId7" Type="http://schemas.openxmlformats.org/officeDocument/2006/relationships/hyperlink" Target="https://www.uq.edu.au/study/course.html?course_code=PSYC23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q.edu.au/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9650A7-5686-4631-A4CA-BAFC8EC2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Parker</dc:creator>
  <cp:lastModifiedBy>Vivien Durant</cp:lastModifiedBy>
  <cp:revision>5</cp:revision>
  <cp:lastPrinted>2017-05-17T13:30:00Z</cp:lastPrinted>
  <dcterms:created xsi:type="dcterms:W3CDTF">2017-05-24T02:06:00Z</dcterms:created>
  <dcterms:modified xsi:type="dcterms:W3CDTF">2017-05-24T02:11:00Z</dcterms:modified>
</cp:coreProperties>
</file>