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14847C" w14:textId="2F13EEF9" w:rsidR="00EA1BD8" w:rsidRDefault="00EA1BD8" w:rsidP="001E1B45"/>
    <w:p w14:paraId="2A88D747" w14:textId="77777777" w:rsidR="006F59D7" w:rsidRDefault="006F59D7" w:rsidP="001E1B45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D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F7B6F81" wp14:editId="1594E1FA">
            <wp:extent cx="27146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1048" w14:textId="77777777" w:rsidR="00235BCC" w:rsidRDefault="00235BCC" w:rsidP="001E1B45">
      <w:pPr>
        <w:pStyle w:val="Title"/>
        <w:rPr>
          <w:rFonts w:ascii="Cambria" w:hAnsi="Cambria"/>
        </w:rPr>
      </w:pPr>
    </w:p>
    <w:p w14:paraId="6E9D3A39" w14:textId="05DC467F" w:rsidR="00FB64EF" w:rsidRPr="00235BCC" w:rsidRDefault="00EE2400" w:rsidP="001E1B45">
      <w:pPr>
        <w:pStyle w:val="Title"/>
        <w:rPr>
          <w:rFonts w:ascii="Cambria" w:hAnsi="Cambria"/>
        </w:rPr>
      </w:pPr>
      <w:r>
        <w:rPr>
          <w:rFonts w:ascii="Cambria" w:hAnsi="Cambria"/>
        </w:rPr>
        <w:t>WRIT</w:t>
      </w:r>
      <w:r w:rsidR="006F59D7" w:rsidRPr="00235BCC">
        <w:rPr>
          <w:rFonts w:ascii="Cambria" w:hAnsi="Cambria"/>
        </w:rPr>
        <w:t>1</w:t>
      </w:r>
      <w:r>
        <w:rPr>
          <w:rFonts w:ascii="Cambria" w:hAnsi="Cambria"/>
        </w:rPr>
        <w:t>101X</w:t>
      </w:r>
      <w:r w:rsidR="006F59D7" w:rsidRPr="00235BCC">
        <w:rPr>
          <w:rFonts w:ascii="Cambria" w:hAnsi="Cambria"/>
        </w:rPr>
        <w:t xml:space="preserve"> </w:t>
      </w:r>
      <w:r w:rsidR="002D2DFE" w:rsidRPr="00235BCC">
        <w:rPr>
          <w:rFonts w:ascii="Cambria" w:hAnsi="Cambria"/>
        </w:rPr>
        <w:t>–</w:t>
      </w:r>
      <w:r w:rsidR="006F59D7" w:rsidRPr="00235BCC">
        <w:rPr>
          <w:rFonts w:ascii="Cambria" w:hAnsi="Cambria"/>
        </w:rPr>
        <w:t xml:space="preserve"> </w:t>
      </w:r>
      <w:r w:rsidR="002D2DFE" w:rsidRPr="00235BCC">
        <w:rPr>
          <w:rFonts w:ascii="Cambria" w:hAnsi="Cambria"/>
        </w:rPr>
        <w:t>VEP C</w:t>
      </w:r>
      <w:r w:rsidR="00DD3E97" w:rsidRPr="00235BCC">
        <w:rPr>
          <w:rFonts w:ascii="Cambria" w:hAnsi="Cambria"/>
        </w:rPr>
        <w:t xml:space="preserve">ourse Profile  </w:t>
      </w:r>
    </w:p>
    <w:p w14:paraId="20CF84A3" w14:textId="77777777" w:rsidR="005C2A72" w:rsidRPr="005C2A72" w:rsidRDefault="005C2A72" w:rsidP="001E1B45"/>
    <w:p w14:paraId="6D4F1BCA" w14:textId="68A22B83" w:rsidR="005C1984" w:rsidRDefault="00017298" w:rsidP="001E1B45">
      <w:r w:rsidRPr="005C1984">
        <w:t>This document outlines the cou</w:t>
      </w:r>
      <w:r w:rsidR="001C4E3B">
        <w:t>rse profile for a MOOC or MOOC+VEP</w:t>
      </w:r>
      <w:r w:rsidRPr="005C1984">
        <w:t xml:space="preserve"> </w:t>
      </w:r>
      <w:r w:rsidR="00614216">
        <w:t>companion materials</w:t>
      </w:r>
      <w:r w:rsidRPr="005C1984">
        <w:t xml:space="preserve"> proposed as part of the Virtual Exchange Program</w:t>
      </w:r>
      <w:r w:rsidR="006F59D7" w:rsidRPr="005C1984">
        <w:t xml:space="preserve"> (VEP)</w:t>
      </w:r>
      <w:r w:rsidR="005C1984">
        <w:t xml:space="preserve"> with ‘MOOCs for Credit’ Alliance Partners</w:t>
      </w:r>
      <w:r w:rsidRPr="005C1984">
        <w:t xml:space="preserve">.  </w:t>
      </w:r>
    </w:p>
    <w:p w14:paraId="41F9F4B6" w14:textId="77777777" w:rsidR="005C1984" w:rsidRDefault="005C1984" w:rsidP="001E1B45"/>
    <w:p w14:paraId="0F4B2CCF" w14:textId="2C2924D0" w:rsidR="00017298" w:rsidRPr="005C1984" w:rsidRDefault="00017298" w:rsidP="001E1B45">
      <w:r w:rsidRPr="005C1984">
        <w:t xml:space="preserve">Included are descriptions of activities and assessments for the MOOC and </w:t>
      </w:r>
      <w:r w:rsidR="005D253E">
        <w:t xml:space="preserve">the VEP </w:t>
      </w:r>
      <w:r w:rsidRPr="005C1984">
        <w:t xml:space="preserve">companion </w:t>
      </w:r>
      <w:r w:rsidR="005D253E">
        <w:t>materials</w:t>
      </w:r>
      <w:r w:rsidRPr="005C1984">
        <w:t>. The aim is for the MOOC</w:t>
      </w:r>
      <w:r w:rsidR="005D253E">
        <w:t xml:space="preserve"> </w:t>
      </w:r>
      <w:r w:rsidR="005D253E" w:rsidRPr="005C1984">
        <w:t xml:space="preserve">and </w:t>
      </w:r>
      <w:r w:rsidR="005D253E">
        <w:t xml:space="preserve">the VEP </w:t>
      </w:r>
      <w:r w:rsidR="005D253E" w:rsidRPr="005C1984">
        <w:t xml:space="preserve">companion </w:t>
      </w:r>
      <w:r w:rsidR="005D253E">
        <w:t>materials</w:t>
      </w:r>
      <w:r w:rsidRPr="005C1984">
        <w:t xml:space="preserve"> to be as comparable to the on-campus course as possible</w:t>
      </w:r>
      <w:r w:rsidR="005B3168">
        <w:t>,</w:t>
      </w:r>
      <w:r w:rsidRPr="005C1984">
        <w:t xml:space="preserve"> given the constraint</w:t>
      </w:r>
      <w:r w:rsidR="005B3168">
        <w:t>s</w:t>
      </w:r>
      <w:r w:rsidRPr="005C1984">
        <w:t xml:space="preserve"> of a fully on-line delivery.</w:t>
      </w:r>
    </w:p>
    <w:p w14:paraId="6D6AA01C" w14:textId="77777777" w:rsidR="00FB64EF" w:rsidRPr="005C1984" w:rsidRDefault="00FB64EF" w:rsidP="001E1B45"/>
    <w:p w14:paraId="2E8D3C59" w14:textId="17F72315" w:rsidR="00FB64EF" w:rsidRPr="001E1B45" w:rsidRDefault="00DD3E97" w:rsidP="001E1B45">
      <w:r w:rsidRPr="001E1B45">
        <w:t xml:space="preserve">VEP students will be required to enrol in </w:t>
      </w:r>
      <w:r w:rsidR="00503904">
        <w:t xml:space="preserve">the Verified Track in </w:t>
      </w:r>
      <w:r w:rsidRPr="001E1B45">
        <w:t xml:space="preserve">the public MOOC and </w:t>
      </w:r>
      <w:r w:rsidR="005D253E">
        <w:t>participate in activities for the companion cohort in a variety of ways</w:t>
      </w:r>
      <w:r w:rsidRPr="001E1B45">
        <w:t>.</w:t>
      </w:r>
    </w:p>
    <w:p w14:paraId="249BBD1E" w14:textId="77777777" w:rsidR="005C1984" w:rsidRPr="005C1984" w:rsidRDefault="005C1984" w:rsidP="001E1B45"/>
    <w:p w14:paraId="47A1636A" w14:textId="638FEF0C" w:rsidR="001E1B45" w:rsidRPr="001E1B45" w:rsidRDefault="001E1B45" w:rsidP="001E1B45">
      <w:pPr>
        <w:spacing w:after="160"/>
        <w:rPr>
          <w:rFonts w:eastAsia="Times New Roman"/>
          <w:color w:val="auto"/>
          <w:lang w:val="en-GB" w:eastAsia="en-US"/>
        </w:rPr>
      </w:pPr>
      <w:r w:rsidRPr="001E1B45">
        <w:t xml:space="preserve">This MOOC is delivered through </w:t>
      </w:r>
      <w:proofErr w:type="spellStart"/>
      <w:r w:rsidRPr="001E1B45">
        <w:t>edX</w:t>
      </w:r>
      <w:proofErr w:type="spellEnd"/>
      <w:r w:rsidRPr="001E1B45">
        <w:t xml:space="preserve">. VEP students will be supplied a code to upgrade to the Verified </w:t>
      </w:r>
      <w:r w:rsidR="00503904">
        <w:t>Track</w:t>
      </w:r>
      <w:r w:rsidRPr="001E1B45">
        <w:t xml:space="preserve">. </w:t>
      </w:r>
      <w:r>
        <w:rPr>
          <w:rFonts w:eastAsia="Times New Roman"/>
          <w:color w:val="auto"/>
          <w:lang w:val="en-GB" w:eastAsia="en-US"/>
        </w:rPr>
        <w:t xml:space="preserve">VEP students must provide UQ with the email address associated with their </w:t>
      </w:r>
      <w:proofErr w:type="spellStart"/>
      <w:r>
        <w:rPr>
          <w:rFonts w:eastAsia="Times New Roman"/>
          <w:color w:val="auto"/>
          <w:lang w:val="en-GB" w:eastAsia="en-US"/>
        </w:rPr>
        <w:t>edX</w:t>
      </w:r>
      <w:proofErr w:type="spellEnd"/>
      <w:r>
        <w:rPr>
          <w:rFonts w:eastAsia="Times New Roman"/>
          <w:color w:val="auto"/>
          <w:lang w:val="en-GB" w:eastAsia="en-US"/>
        </w:rPr>
        <w:t xml:space="preserve"> ID. </w:t>
      </w:r>
    </w:p>
    <w:p w14:paraId="7B50E4A4" w14:textId="77777777" w:rsidR="00FB64EF" w:rsidRPr="006C717C" w:rsidRDefault="00FB64EF" w:rsidP="001E1B45"/>
    <w:p w14:paraId="310D25C1" w14:textId="352D73CE" w:rsidR="008A5535" w:rsidRPr="00BE0C03" w:rsidRDefault="00DD3E97" w:rsidP="001E1B45">
      <w:pPr>
        <w:rPr>
          <w:rFonts w:ascii="Cambria" w:hAnsi="Cambria"/>
          <w:b/>
          <w:bCs/>
          <w:sz w:val="28"/>
        </w:rPr>
      </w:pPr>
      <w:r w:rsidRPr="006C717C">
        <w:rPr>
          <w:rStyle w:val="Strong"/>
        </w:rPr>
        <w:t>Course Name</w:t>
      </w:r>
    </w:p>
    <w:p w14:paraId="606E28CA" w14:textId="1F6A3992" w:rsidR="00FB64EF" w:rsidRPr="006C717C" w:rsidRDefault="00EE2400" w:rsidP="001E1B45">
      <w:r>
        <w:t>WRIT1101X</w:t>
      </w:r>
      <w:r w:rsidR="00DD3E97" w:rsidRPr="009734C0">
        <w:t xml:space="preserve"> </w:t>
      </w:r>
      <w:r w:rsidR="00966D1D">
        <w:t xml:space="preserve">- </w:t>
      </w:r>
      <w:r w:rsidR="00DD3E97" w:rsidRPr="009734C0">
        <w:t>English Grammar and Style</w:t>
      </w:r>
    </w:p>
    <w:p w14:paraId="7D1FB8C0" w14:textId="77777777" w:rsidR="009734C0" w:rsidRPr="005C2A72" w:rsidRDefault="009734C0" w:rsidP="001E1B45">
      <w:pPr>
        <w:rPr>
          <w:rStyle w:val="Strong"/>
          <w:sz w:val="12"/>
          <w:szCs w:val="12"/>
        </w:rPr>
      </w:pPr>
    </w:p>
    <w:p w14:paraId="44FFA91E" w14:textId="280DD191" w:rsidR="00FB64EF" w:rsidRPr="009734C0" w:rsidRDefault="00DD3E97" w:rsidP="001E1B45">
      <w:pPr>
        <w:rPr>
          <w:rStyle w:val="Strong"/>
          <w:sz w:val="24"/>
          <w:szCs w:val="24"/>
        </w:rPr>
      </w:pPr>
      <w:r w:rsidRPr="009734C0">
        <w:rPr>
          <w:rStyle w:val="Strong"/>
          <w:sz w:val="24"/>
          <w:szCs w:val="24"/>
        </w:rPr>
        <w:t>Equivalent UQ on-campus course code and title</w:t>
      </w:r>
    </w:p>
    <w:p w14:paraId="062C572A" w14:textId="6C3DCBED" w:rsidR="006C717C" w:rsidRPr="00BE0C03" w:rsidRDefault="00DD3E97" w:rsidP="001E1B45">
      <w:pPr>
        <w:rPr>
          <w:rStyle w:val="Strong"/>
          <w:rFonts w:asciiTheme="minorHAnsi" w:hAnsiTheme="minorHAnsi"/>
          <w:b w:val="0"/>
          <w:bCs w:val="0"/>
          <w:sz w:val="20"/>
        </w:rPr>
      </w:pPr>
      <w:r w:rsidRPr="006C717C">
        <w:t>WRIT</w:t>
      </w:r>
      <w:r w:rsidR="00BE0C03">
        <w:t>12</w:t>
      </w:r>
      <w:r w:rsidRPr="006C717C">
        <w:t xml:space="preserve">50 </w:t>
      </w:r>
      <w:r w:rsidR="00BE0C03">
        <w:t>–</w:t>
      </w:r>
      <w:r w:rsidR="00966D1D">
        <w:t xml:space="preserve"> </w:t>
      </w:r>
      <w:r w:rsidR="00BE0C03">
        <w:t>Fundamentals of English Grammar</w:t>
      </w:r>
      <w:bookmarkStart w:id="0" w:name="_a7b0k3n0oeap" w:colFirst="0" w:colLast="0"/>
      <w:bookmarkEnd w:id="0"/>
    </w:p>
    <w:p w14:paraId="19C531C5" w14:textId="77777777" w:rsidR="00BE0C03" w:rsidRDefault="00BE0C03" w:rsidP="001E1B45">
      <w:pPr>
        <w:rPr>
          <w:rFonts w:ascii="Cambria" w:hAnsi="Cambria"/>
          <w:b/>
          <w:sz w:val="24"/>
          <w:szCs w:val="24"/>
        </w:rPr>
      </w:pPr>
    </w:p>
    <w:p w14:paraId="1BF57182" w14:textId="262301EE" w:rsidR="006F59D7" w:rsidRPr="00BE0C03" w:rsidRDefault="00503904" w:rsidP="001E1B4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Course Level</w:t>
      </w:r>
    </w:p>
    <w:p w14:paraId="33A44C1C" w14:textId="1F7F52CA" w:rsidR="006F59D7" w:rsidRPr="001E1A2F" w:rsidRDefault="006F59D7" w:rsidP="001E1B45">
      <w:pPr>
        <w:rPr>
          <w:rStyle w:val="Strong"/>
          <w:rFonts w:asciiTheme="minorHAnsi" w:hAnsiTheme="minorHAnsi"/>
          <w:b w:val="0"/>
          <w:sz w:val="20"/>
        </w:rPr>
      </w:pPr>
      <w:r w:rsidRPr="001E1A2F">
        <w:rPr>
          <w:rStyle w:val="Strong"/>
          <w:rFonts w:asciiTheme="minorHAnsi" w:hAnsiTheme="minorHAnsi"/>
          <w:b w:val="0"/>
          <w:sz w:val="20"/>
        </w:rPr>
        <w:t xml:space="preserve">This course is derived from a </w:t>
      </w:r>
      <w:r w:rsidR="00BE0C03">
        <w:rPr>
          <w:rStyle w:val="Strong"/>
          <w:rFonts w:asciiTheme="minorHAnsi" w:hAnsiTheme="minorHAnsi"/>
          <w:b w:val="0"/>
          <w:sz w:val="20"/>
        </w:rPr>
        <w:t>1st</w:t>
      </w:r>
      <w:r w:rsidRPr="001E1A2F">
        <w:rPr>
          <w:rStyle w:val="Strong"/>
          <w:rFonts w:asciiTheme="minorHAnsi" w:hAnsiTheme="minorHAnsi"/>
          <w:b w:val="0"/>
          <w:sz w:val="20"/>
        </w:rPr>
        <w:t xml:space="preserve"> year bachelor level course.</w:t>
      </w:r>
    </w:p>
    <w:p w14:paraId="0313BDB4" w14:textId="77777777" w:rsidR="006F59D7" w:rsidRPr="001E1A2F" w:rsidRDefault="006F59D7" w:rsidP="001E1B45">
      <w:pPr>
        <w:rPr>
          <w:rStyle w:val="Strong"/>
        </w:rPr>
      </w:pPr>
    </w:p>
    <w:p w14:paraId="2AB83984" w14:textId="5106D737" w:rsidR="00966D1D" w:rsidRPr="00BE0C03" w:rsidRDefault="00966D1D" w:rsidP="001E1B45">
      <w:pPr>
        <w:rPr>
          <w:rStyle w:val="Strong"/>
          <w:bCs w:val="0"/>
          <w:sz w:val="24"/>
          <w:szCs w:val="24"/>
        </w:rPr>
      </w:pPr>
      <w:r w:rsidRPr="00BE0C03">
        <w:rPr>
          <w:rFonts w:ascii="Cambria" w:hAnsi="Cambria"/>
          <w:b/>
          <w:sz w:val="24"/>
          <w:szCs w:val="24"/>
        </w:rPr>
        <w:t>Expected Prior Knowledge</w:t>
      </w:r>
    </w:p>
    <w:p w14:paraId="78834DCC" w14:textId="16357C00" w:rsidR="00966D1D" w:rsidRPr="001E1A2F" w:rsidRDefault="00966D1D" w:rsidP="001E1B45">
      <w:pPr>
        <w:rPr>
          <w:rStyle w:val="Strong"/>
          <w:rFonts w:asciiTheme="minorHAnsi" w:hAnsiTheme="minorHAnsi"/>
          <w:b w:val="0"/>
          <w:sz w:val="20"/>
        </w:rPr>
      </w:pPr>
      <w:r w:rsidRPr="001E1A2F">
        <w:rPr>
          <w:rStyle w:val="Strong"/>
          <w:rFonts w:asciiTheme="minorHAnsi" w:hAnsiTheme="minorHAnsi"/>
          <w:b w:val="0"/>
          <w:sz w:val="20"/>
        </w:rPr>
        <w:t xml:space="preserve">This course assumes a </w:t>
      </w:r>
      <w:r w:rsidRPr="001E1A2F">
        <w:t>good command of English</w:t>
      </w:r>
      <w:r w:rsidRPr="001E1A2F">
        <w:rPr>
          <w:rStyle w:val="Strong"/>
          <w:rFonts w:asciiTheme="minorHAnsi" w:hAnsiTheme="minorHAnsi"/>
          <w:b w:val="0"/>
          <w:sz w:val="20"/>
        </w:rPr>
        <w:t>.</w:t>
      </w:r>
    </w:p>
    <w:p w14:paraId="4A3A5490" w14:textId="77777777" w:rsidR="00966D1D" w:rsidRPr="001E1A2F" w:rsidRDefault="00966D1D" w:rsidP="001E1B45">
      <w:pPr>
        <w:rPr>
          <w:rStyle w:val="Strong"/>
        </w:rPr>
      </w:pPr>
    </w:p>
    <w:p w14:paraId="5882F22D" w14:textId="6C854DCE" w:rsidR="00966D1D" w:rsidRPr="00BE0C03" w:rsidRDefault="00966D1D" w:rsidP="001E1B45">
      <w:pPr>
        <w:rPr>
          <w:rStyle w:val="Strong"/>
          <w:bCs w:val="0"/>
          <w:sz w:val="24"/>
          <w:szCs w:val="24"/>
        </w:rPr>
      </w:pPr>
      <w:r w:rsidRPr="00BE0C03">
        <w:rPr>
          <w:rFonts w:ascii="Cambria" w:hAnsi="Cambria"/>
          <w:b/>
          <w:sz w:val="24"/>
          <w:szCs w:val="24"/>
        </w:rPr>
        <w:t>Unit Value</w:t>
      </w:r>
    </w:p>
    <w:p w14:paraId="329180C4" w14:textId="113A8946" w:rsidR="00966D1D" w:rsidRPr="006F59D7" w:rsidRDefault="00BE0C03" w:rsidP="001E1B45">
      <w:pPr>
        <w:rPr>
          <w:rStyle w:val="Strong"/>
          <w:rFonts w:asciiTheme="minorHAnsi" w:hAnsiTheme="minorHAnsi"/>
          <w:b w:val="0"/>
          <w:sz w:val="20"/>
        </w:rPr>
      </w:pPr>
      <w:r>
        <w:rPr>
          <w:rStyle w:val="Strong"/>
          <w:rFonts w:asciiTheme="minorHAnsi" w:hAnsiTheme="minorHAnsi"/>
          <w:b w:val="0"/>
          <w:sz w:val="20"/>
        </w:rPr>
        <w:t xml:space="preserve">2 Units </w:t>
      </w:r>
      <w:r w:rsidR="00966D1D" w:rsidRPr="001E1A2F">
        <w:rPr>
          <w:rStyle w:val="Strong"/>
          <w:rFonts w:asciiTheme="minorHAnsi" w:hAnsiTheme="minorHAnsi"/>
          <w:b w:val="0"/>
          <w:sz w:val="20"/>
        </w:rPr>
        <w:t>(7.5 ECTS)</w:t>
      </w:r>
    </w:p>
    <w:p w14:paraId="11C39EDB" w14:textId="77777777" w:rsidR="00966D1D" w:rsidRDefault="00966D1D" w:rsidP="001E1B45">
      <w:pPr>
        <w:rPr>
          <w:rStyle w:val="Strong"/>
        </w:rPr>
      </w:pPr>
    </w:p>
    <w:p w14:paraId="22C613F7" w14:textId="3F6A4FD4" w:rsidR="008A5535" w:rsidRPr="00BE0C03" w:rsidRDefault="009734C0" w:rsidP="001E1B45">
      <w:pPr>
        <w:rPr>
          <w:rStyle w:val="IntenseReference"/>
          <w:bCs/>
          <w:color w:val="000000"/>
          <w:sz w:val="28"/>
          <w:szCs w:val="20"/>
        </w:rPr>
      </w:pPr>
      <w:r>
        <w:rPr>
          <w:rStyle w:val="Strong"/>
        </w:rPr>
        <w:t>Course Aims</w:t>
      </w:r>
      <w:bookmarkStart w:id="1" w:name="_wrczdwjqbm4" w:colFirst="0" w:colLast="0"/>
      <w:bookmarkStart w:id="2" w:name="_6dulhr58kt9m" w:colFirst="0" w:colLast="0"/>
      <w:bookmarkEnd w:id="1"/>
      <w:bookmarkEnd w:id="2"/>
    </w:p>
    <w:p w14:paraId="23F8BAC2" w14:textId="395479E6" w:rsidR="00FB64EF" w:rsidRPr="00032275" w:rsidRDefault="00EE2400" w:rsidP="001E1B45">
      <w:pPr>
        <w:rPr>
          <w:rStyle w:val="IntenseReference"/>
        </w:rPr>
      </w:pPr>
      <w:r>
        <w:rPr>
          <w:rStyle w:val="IntenseReference"/>
        </w:rPr>
        <w:t>WRIT1101X</w:t>
      </w:r>
      <w:r w:rsidR="00651EF1">
        <w:rPr>
          <w:rStyle w:val="IntenseReference"/>
        </w:rPr>
        <w:t xml:space="preserve"> MOOC</w:t>
      </w:r>
    </w:p>
    <w:p w14:paraId="5817B2CF" w14:textId="25FDC4C4" w:rsidR="001E1A2F" w:rsidRDefault="00EE2400" w:rsidP="001E1B45">
      <w:r>
        <w:t>WRIT1101X</w:t>
      </w:r>
      <w:r w:rsidR="001E1A2F" w:rsidRPr="006C717C">
        <w:t xml:space="preserve"> </w:t>
      </w:r>
      <w:r w:rsidR="001E1A2F">
        <w:t>introduces</w:t>
      </w:r>
      <w:r w:rsidR="001E1A2F" w:rsidRPr="006C717C">
        <w:t xml:space="preserve"> </w:t>
      </w:r>
      <w:r w:rsidR="001E1A2F">
        <w:t xml:space="preserve">students </w:t>
      </w:r>
      <w:r w:rsidR="001E1A2F" w:rsidRPr="006C717C">
        <w:t>to key concepts and strategies related to grammar</w:t>
      </w:r>
      <w:r w:rsidR="001E1A2F">
        <w:t xml:space="preserve">, sentence and paragraph structure, </w:t>
      </w:r>
      <w:r w:rsidR="001E1A2F" w:rsidRPr="006C717C">
        <w:t>style</w:t>
      </w:r>
      <w:r w:rsidR="001E1A2F">
        <w:t>, and punctuation</w:t>
      </w:r>
      <w:r w:rsidR="001E1A2F" w:rsidRPr="006C717C">
        <w:t xml:space="preserve">. </w:t>
      </w:r>
      <w:r w:rsidR="001E1A2F">
        <w:t>The</w:t>
      </w:r>
      <w:r w:rsidR="001E1A2F" w:rsidRPr="006C717C">
        <w:t xml:space="preserve"> course aims to enhance</w:t>
      </w:r>
      <w:r w:rsidR="001E1A2F">
        <w:t xml:space="preserve"> students’ </w:t>
      </w:r>
      <w:r w:rsidR="001E1A2F" w:rsidRPr="006C717C">
        <w:t>ability to revise and edit their writing by building on their intuitive understanding of how words work</w:t>
      </w:r>
      <w:r w:rsidR="001E1A2F">
        <w:t xml:space="preserve">. Learning and absorbing these strategies will enhance students’ ability to respond with confidence and competence to the </w:t>
      </w:r>
      <w:r w:rsidR="001E1A2F" w:rsidRPr="006C717C">
        <w:t xml:space="preserve">unprecedented and accelerating </w:t>
      </w:r>
      <w:r w:rsidR="001E1A2F">
        <w:t>21</w:t>
      </w:r>
      <w:r w:rsidR="001E1A2F" w:rsidRPr="00D85708">
        <w:rPr>
          <w:vertAlign w:val="superscript"/>
        </w:rPr>
        <w:t>st</w:t>
      </w:r>
      <w:r w:rsidR="001E1A2F">
        <w:t xml:space="preserve"> century </w:t>
      </w:r>
      <w:r w:rsidR="001E1A2F" w:rsidRPr="006C717C">
        <w:t>demand for high levels of literacy</w:t>
      </w:r>
      <w:bookmarkStart w:id="3" w:name="_klztjvgp9s9z" w:colFirst="0" w:colLast="0"/>
      <w:bookmarkEnd w:id="3"/>
      <w:r w:rsidR="001E1A2F">
        <w:t xml:space="preserve">. </w:t>
      </w:r>
    </w:p>
    <w:p w14:paraId="255B0B94" w14:textId="77777777" w:rsidR="00A463D9" w:rsidRDefault="00A463D9" w:rsidP="001E1B45">
      <w:pPr>
        <w:rPr>
          <w:rStyle w:val="IntenseReference"/>
        </w:rPr>
      </w:pPr>
    </w:p>
    <w:p w14:paraId="0FE417E4" w14:textId="254A2DA4" w:rsidR="00FB64EF" w:rsidRPr="00032275" w:rsidRDefault="00EE2400" w:rsidP="001E1B45">
      <w:pPr>
        <w:rPr>
          <w:rStyle w:val="IntenseReference"/>
        </w:rPr>
      </w:pPr>
      <w:r>
        <w:rPr>
          <w:rStyle w:val="IntenseReference"/>
        </w:rPr>
        <w:t>WRIT1101X</w:t>
      </w:r>
      <w:r w:rsidR="00651EF1">
        <w:rPr>
          <w:rStyle w:val="IntenseReference"/>
        </w:rPr>
        <w:t xml:space="preserve"> </w:t>
      </w:r>
      <w:r w:rsidR="00BE0C03">
        <w:rPr>
          <w:rStyle w:val="IntenseReference"/>
        </w:rPr>
        <w:t>VEP Companion</w:t>
      </w:r>
    </w:p>
    <w:p w14:paraId="691080E4" w14:textId="0D68254E" w:rsidR="00852E49" w:rsidRDefault="00BE0C03" w:rsidP="001E1B45">
      <w:r>
        <w:t>Materials in the companion course will build on students’ intuitiv</w:t>
      </w:r>
      <w:bookmarkStart w:id="4" w:name="_GoBack"/>
      <w:bookmarkEnd w:id="4"/>
      <w:r>
        <w:t>e understanding on how words work, and equip them with a command of sentence structure and style by providing them with strategies to edit their own and others’ work.  The course will cover word usage; phrases and clauses; sentence structure and type</w:t>
      </w:r>
      <w:r w:rsidR="00852E49">
        <w:t>s of sentences; case of nouns an</w:t>
      </w:r>
      <w:r>
        <w:t>d pronouns; tense, mood, form and voice of verbs; modal verbs; verbals; agreement of subject and verb; pronoun reference; adjectives and adverbs; modifiers, conjunctions, parallelism; prepositions; punctuation; and paragraph coherence and cohesion.</w:t>
      </w:r>
    </w:p>
    <w:p w14:paraId="23BD14FC" w14:textId="77777777" w:rsidR="00852E49" w:rsidRDefault="00852E49" w:rsidP="001E1B45"/>
    <w:p w14:paraId="4C6A014A" w14:textId="392D8E69" w:rsidR="00247F82" w:rsidRDefault="00247F82" w:rsidP="001E1B45">
      <w:r w:rsidRPr="006C717C">
        <w:lastRenderedPageBreak/>
        <w:t xml:space="preserve">VEP students </w:t>
      </w:r>
      <w:r w:rsidR="00BE0C03">
        <w:t>will be provided with</w:t>
      </w:r>
      <w:r>
        <w:t>:</w:t>
      </w:r>
    </w:p>
    <w:p w14:paraId="19C04508" w14:textId="1DE4C766" w:rsidR="00247F82" w:rsidRPr="00694091" w:rsidRDefault="00060826" w:rsidP="001E1B45">
      <w:pPr>
        <w:pStyle w:val="ListParagraph"/>
        <w:numPr>
          <w:ilvl w:val="0"/>
          <w:numId w:val="19"/>
        </w:numPr>
      </w:pPr>
      <w:r>
        <w:t>a</w:t>
      </w:r>
      <w:r w:rsidR="00247F82" w:rsidRPr="00694091">
        <w:t xml:space="preserve">ccess to additional materials from </w:t>
      </w:r>
      <w:r w:rsidR="00247F82">
        <w:t>WRIT</w:t>
      </w:r>
      <w:r w:rsidR="00BE0C03">
        <w:t>1</w:t>
      </w:r>
      <w:r w:rsidR="00247F82">
        <w:t>250</w:t>
      </w:r>
      <w:r w:rsidR="00247F82" w:rsidRPr="00694091">
        <w:t xml:space="preserve"> not used in </w:t>
      </w:r>
      <w:r w:rsidR="00EE2400">
        <w:t>WRIT1101X</w:t>
      </w:r>
      <w:r>
        <w:t>;</w:t>
      </w:r>
    </w:p>
    <w:p w14:paraId="002512E3" w14:textId="5C3DB93A" w:rsidR="00247F82" w:rsidRPr="00694091" w:rsidRDefault="00BE0C03" w:rsidP="001E1B45">
      <w:pPr>
        <w:pStyle w:val="ListParagraph"/>
        <w:numPr>
          <w:ilvl w:val="0"/>
          <w:numId w:val="19"/>
        </w:numPr>
      </w:pPr>
      <w:r>
        <w:t xml:space="preserve">additional </w:t>
      </w:r>
      <w:r w:rsidR="00060826">
        <w:t>a</w:t>
      </w:r>
      <w:r w:rsidR="00247F82">
        <w:t>ssessments</w:t>
      </w:r>
      <w:r w:rsidR="00247F82" w:rsidRPr="00694091">
        <w:t xml:space="preserve"> to ensure </w:t>
      </w:r>
      <w:r w:rsidR="00247F82">
        <w:t>comparable</w:t>
      </w:r>
      <w:r w:rsidR="00247F82" w:rsidRPr="00694091">
        <w:t xml:space="preserve"> assessment </w:t>
      </w:r>
      <w:r w:rsidR="00247F82">
        <w:t>to WRIT</w:t>
      </w:r>
      <w:r>
        <w:t>1</w:t>
      </w:r>
      <w:r w:rsidR="00247F82">
        <w:t>250</w:t>
      </w:r>
      <w:r w:rsidR="00060826">
        <w:t>;</w:t>
      </w:r>
    </w:p>
    <w:p w14:paraId="7BECEB6C" w14:textId="77777777" w:rsidR="006C717C" w:rsidRDefault="006C717C" w:rsidP="001E1B45"/>
    <w:p w14:paraId="35916A69" w14:textId="77777777" w:rsidR="006749E8" w:rsidRPr="006C717C" w:rsidRDefault="006749E8" w:rsidP="001E1B45"/>
    <w:p w14:paraId="4B108645" w14:textId="2B05AC7D" w:rsidR="00FB64EF" w:rsidRPr="006C717C" w:rsidRDefault="00DD3E97" w:rsidP="001E1B45">
      <w:pPr>
        <w:rPr>
          <w:rStyle w:val="Strong"/>
        </w:rPr>
      </w:pPr>
      <w:r w:rsidRPr="006C717C">
        <w:rPr>
          <w:rStyle w:val="Strong"/>
        </w:rPr>
        <w:t>Learning Objectives</w:t>
      </w:r>
    </w:p>
    <w:p w14:paraId="5F0A725F" w14:textId="5CC7F559" w:rsidR="0093011B" w:rsidRPr="006749E8" w:rsidRDefault="00DD3E97" w:rsidP="006749E8">
      <w:pPr>
        <w:rPr>
          <w:rStyle w:val="IntenseReference"/>
          <w:rFonts w:asciiTheme="minorHAnsi" w:hAnsiTheme="minorHAnsi"/>
          <w:b w:val="0"/>
          <w:color w:val="000000"/>
          <w:sz w:val="20"/>
          <w:szCs w:val="20"/>
        </w:rPr>
      </w:pPr>
      <w:r w:rsidRPr="006C717C">
        <w:t xml:space="preserve">After successfully completing </w:t>
      </w:r>
      <w:r w:rsidR="00BE0C03">
        <w:t xml:space="preserve">the </w:t>
      </w:r>
      <w:r w:rsidR="00EE2400">
        <w:t>WRIT1101X</w:t>
      </w:r>
      <w:r w:rsidR="00BE0C03">
        <w:t xml:space="preserve"> MOOC and the </w:t>
      </w:r>
      <w:r w:rsidR="00EE2400">
        <w:t>WRIT1101X</w:t>
      </w:r>
      <w:r w:rsidR="00BE0C03">
        <w:t xml:space="preserve"> VEP Companion</w:t>
      </w:r>
      <w:r w:rsidR="009734C0">
        <w:t>,</w:t>
      </w:r>
      <w:r w:rsidRPr="006C717C">
        <w:t xml:space="preserve"> </w:t>
      </w:r>
      <w:r w:rsidR="00D85708">
        <w:t xml:space="preserve">students </w:t>
      </w:r>
      <w:r w:rsidRPr="006C717C">
        <w:t>should be able to:</w:t>
      </w:r>
      <w:bookmarkStart w:id="5" w:name="_yebg3bty2uhf" w:colFirst="0" w:colLast="0"/>
      <w:bookmarkStart w:id="6" w:name="_9eopzvkpjh4a" w:colFirst="0" w:colLast="0"/>
      <w:bookmarkEnd w:id="5"/>
      <w:bookmarkEnd w:id="6"/>
      <w:r w:rsidR="0093011B" w:rsidRPr="00032275">
        <w:rPr>
          <w:rStyle w:val="IntenseReference"/>
        </w:rPr>
        <w:tab/>
        <w:t xml:space="preserve"> </w:t>
      </w:r>
      <w:r w:rsidR="0093011B" w:rsidRPr="00032275">
        <w:rPr>
          <w:rStyle w:val="IntenseReference"/>
        </w:rPr>
        <w:tab/>
        <w:t xml:space="preserve"> </w:t>
      </w:r>
      <w:r w:rsidR="0093011B" w:rsidRPr="00032275">
        <w:rPr>
          <w:rStyle w:val="IntenseReference"/>
        </w:rPr>
        <w:tab/>
        <w:t xml:space="preserve"> </w:t>
      </w:r>
      <w:r w:rsidR="0093011B" w:rsidRPr="00032275">
        <w:rPr>
          <w:rStyle w:val="IntenseReference"/>
        </w:rPr>
        <w:tab/>
      </w:r>
      <w:r w:rsidR="0093011B" w:rsidRPr="00032275">
        <w:rPr>
          <w:rStyle w:val="IntenseReference"/>
        </w:rPr>
        <w:tab/>
      </w:r>
      <w:r w:rsidR="0093011B" w:rsidRPr="00032275">
        <w:rPr>
          <w:rStyle w:val="IntenseReference"/>
        </w:rPr>
        <w:tab/>
      </w:r>
      <w:r w:rsidR="0093011B" w:rsidRPr="00032275">
        <w:rPr>
          <w:rStyle w:val="IntenseReference"/>
        </w:rPr>
        <w:tab/>
      </w:r>
      <w:r w:rsidR="0093011B" w:rsidRPr="00032275">
        <w:rPr>
          <w:rStyle w:val="IntenseReference"/>
        </w:rPr>
        <w:tab/>
      </w:r>
      <w:r w:rsidR="0093011B" w:rsidRPr="00032275">
        <w:rPr>
          <w:rStyle w:val="IntenseReference"/>
        </w:rPr>
        <w:tab/>
      </w:r>
      <w:r w:rsidR="0093011B" w:rsidRPr="00032275">
        <w:rPr>
          <w:rStyle w:val="IntenseReference"/>
        </w:rPr>
        <w:tab/>
      </w:r>
    </w:p>
    <w:p w14:paraId="2ED295A2" w14:textId="77777777" w:rsidR="00FB64EF" w:rsidRPr="009734C0" w:rsidRDefault="00DD3E97" w:rsidP="001E1B45">
      <w:pPr>
        <w:pStyle w:val="ListParagraph"/>
        <w:numPr>
          <w:ilvl w:val="0"/>
          <w:numId w:val="10"/>
        </w:numPr>
      </w:pPr>
      <w:r w:rsidRPr="009734C0">
        <w:t>Reliably identify the roles and relationships of words in a sentence.</w:t>
      </w:r>
    </w:p>
    <w:p w14:paraId="5FC329A3" w14:textId="77777777" w:rsidR="00FB64EF" w:rsidRPr="009734C0" w:rsidRDefault="00DD3E97" w:rsidP="001E1B45">
      <w:pPr>
        <w:pStyle w:val="ListParagraph"/>
        <w:numPr>
          <w:ilvl w:val="0"/>
          <w:numId w:val="10"/>
        </w:numPr>
      </w:pPr>
      <w:r w:rsidRPr="009734C0">
        <w:t>Demonstrate mastery of grammatical concepts and syntactical strategies and apply this knowledge to produce coherent, economical, and compelling writing.</w:t>
      </w:r>
    </w:p>
    <w:p w14:paraId="5D213E7C" w14:textId="77777777" w:rsidR="00FB64EF" w:rsidRPr="009734C0" w:rsidRDefault="00DD3E97" w:rsidP="001E1B45">
      <w:pPr>
        <w:pStyle w:val="ListParagraph"/>
        <w:numPr>
          <w:ilvl w:val="0"/>
          <w:numId w:val="10"/>
        </w:numPr>
      </w:pPr>
      <w:r w:rsidRPr="009734C0">
        <w:t xml:space="preserve">Critique and edit </w:t>
      </w:r>
      <w:r w:rsidR="009C68D9">
        <w:t xml:space="preserve">their own and others’ </w:t>
      </w:r>
      <w:r w:rsidRPr="009734C0">
        <w:t>writing.</w:t>
      </w:r>
      <w:r w:rsidRPr="009734C0">
        <w:tab/>
      </w:r>
      <w:r w:rsidRPr="009734C0">
        <w:tab/>
      </w:r>
      <w:r w:rsidRPr="009734C0">
        <w:tab/>
      </w:r>
      <w:r w:rsidRPr="009734C0">
        <w:tab/>
      </w:r>
      <w:r w:rsidRPr="009734C0">
        <w:tab/>
      </w:r>
      <w:r w:rsidRPr="009734C0">
        <w:tab/>
      </w:r>
      <w:r w:rsidRPr="009734C0">
        <w:tab/>
      </w:r>
    </w:p>
    <w:p w14:paraId="7FAD4733" w14:textId="77777777" w:rsidR="006749E8" w:rsidRDefault="006749E8" w:rsidP="001E1B45"/>
    <w:p w14:paraId="5F6706F1" w14:textId="102D8614" w:rsidR="00FB64EF" w:rsidRPr="006C717C" w:rsidRDefault="00DD3E97" w:rsidP="001E1B45">
      <w:r w:rsidRPr="006C717C">
        <w:tab/>
      </w:r>
      <w:r w:rsidRPr="006C717C">
        <w:tab/>
      </w:r>
      <w:r w:rsidRPr="006C717C">
        <w:tab/>
      </w:r>
      <w:r w:rsidRPr="006C717C">
        <w:tab/>
      </w:r>
      <w:r w:rsidRPr="006C717C">
        <w:tab/>
        <w:t xml:space="preserve"> </w:t>
      </w:r>
      <w:r w:rsidRPr="006C717C">
        <w:tab/>
      </w:r>
      <w:r w:rsidRPr="006C717C">
        <w:tab/>
      </w:r>
      <w:r w:rsidRPr="006C717C">
        <w:tab/>
      </w:r>
      <w:r w:rsidRPr="006C717C">
        <w:tab/>
      </w:r>
      <w:r w:rsidRPr="006C717C">
        <w:tab/>
      </w:r>
    </w:p>
    <w:p w14:paraId="4DEE2B2E" w14:textId="507EC984" w:rsidR="006749E8" w:rsidRPr="006749E8" w:rsidRDefault="00DD3E97" w:rsidP="006749E8">
      <w:pPr>
        <w:rPr>
          <w:rFonts w:ascii="Cambria" w:hAnsi="Cambria"/>
          <w:b/>
          <w:bCs/>
          <w:sz w:val="28"/>
        </w:rPr>
      </w:pPr>
      <w:bookmarkStart w:id="7" w:name="_r35qusesvern" w:colFirst="0" w:colLast="0"/>
      <w:bookmarkEnd w:id="7"/>
      <w:r w:rsidRPr="006C717C">
        <w:rPr>
          <w:rStyle w:val="Strong"/>
        </w:rPr>
        <w:t>Learning Activities</w:t>
      </w:r>
      <w:bookmarkStart w:id="8" w:name="_op7d1wi09uz3" w:colFirst="0" w:colLast="0"/>
      <w:bookmarkStart w:id="9" w:name="_ekqm5kivi3k" w:colFirst="0" w:colLast="0"/>
      <w:bookmarkEnd w:id="8"/>
      <w:bookmarkEnd w:id="9"/>
    </w:p>
    <w:p w14:paraId="7821DFE9" w14:textId="1D013ADB" w:rsidR="006749E8" w:rsidRPr="006749E8" w:rsidRDefault="00EE2400" w:rsidP="006749E8">
      <w:pPr>
        <w:rPr>
          <w:rFonts w:ascii="Cambria" w:hAnsi="Cambria"/>
          <w:b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color w:val="2F5496" w:themeColor="accent5" w:themeShade="BF"/>
          <w:sz w:val="24"/>
          <w:szCs w:val="24"/>
        </w:rPr>
        <w:t>WRIT1101X</w:t>
      </w:r>
      <w:r w:rsidR="00651EF1" w:rsidRPr="004F1A03">
        <w:rPr>
          <w:rFonts w:ascii="Cambria" w:hAnsi="Cambria"/>
          <w:b/>
          <w:color w:val="2F5496" w:themeColor="accent5" w:themeShade="BF"/>
          <w:sz w:val="24"/>
          <w:szCs w:val="24"/>
        </w:rPr>
        <w:t xml:space="preserve"> MOOC</w:t>
      </w: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63"/>
        <w:gridCol w:w="5931"/>
        <w:gridCol w:w="2590"/>
      </w:tblGrid>
      <w:tr w:rsidR="00FB64EF" w:rsidRPr="006C717C" w14:paraId="5D5E71CB" w14:textId="77777777" w:rsidTr="00DD3E97">
        <w:tc>
          <w:tcPr>
            <w:tcW w:w="46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E35B" w14:textId="77777777" w:rsidR="00FB64EF" w:rsidRPr="001E1B45" w:rsidRDefault="00DD3E97" w:rsidP="001E1B45">
            <w:pPr>
              <w:rPr>
                <w:b/>
              </w:rPr>
            </w:pPr>
            <w:r w:rsidRPr="001E1B45">
              <w:rPr>
                <w:b/>
              </w:rPr>
              <w:t>Week</w:t>
            </w:r>
          </w:p>
        </w:tc>
        <w:tc>
          <w:tcPr>
            <w:tcW w:w="316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E12A" w14:textId="77777777" w:rsidR="00FB64EF" w:rsidRPr="001E1B45" w:rsidRDefault="00DD3E97" w:rsidP="001E1B45">
            <w:pPr>
              <w:rPr>
                <w:b/>
              </w:rPr>
            </w:pPr>
            <w:r w:rsidRPr="001E1B45">
              <w:rPr>
                <w:b/>
              </w:rPr>
              <w:t>Content</w:t>
            </w:r>
          </w:p>
        </w:tc>
        <w:tc>
          <w:tcPr>
            <w:tcW w:w="1380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F090" w14:textId="77777777" w:rsidR="00FB64EF" w:rsidRPr="001E1B45" w:rsidRDefault="00DD3E97" w:rsidP="001E1B45">
            <w:pPr>
              <w:rPr>
                <w:b/>
              </w:rPr>
            </w:pPr>
            <w:r w:rsidRPr="001E1B45">
              <w:rPr>
                <w:b/>
              </w:rPr>
              <w:t>Activities</w:t>
            </w:r>
          </w:p>
        </w:tc>
      </w:tr>
      <w:tr w:rsidR="00FB64EF" w:rsidRPr="006C717C" w14:paraId="4906820E" w14:textId="77777777" w:rsidTr="00DD3E97">
        <w:tc>
          <w:tcPr>
            <w:tcW w:w="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5C67" w14:textId="77777777" w:rsidR="00FB64EF" w:rsidRPr="006C717C" w:rsidRDefault="00DD3E97" w:rsidP="001E1B45">
            <w:r w:rsidRPr="006C717C">
              <w:t>1</w:t>
            </w:r>
          </w:p>
        </w:tc>
        <w:tc>
          <w:tcPr>
            <w:tcW w:w="31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A539" w14:textId="77777777" w:rsidR="008E42BB" w:rsidRDefault="008E42BB" w:rsidP="001E1B45">
            <w:r>
              <w:t>Course introduction:</w:t>
            </w:r>
          </w:p>
          <w:p w14:paraId="22405254" w14:textId="77777777" w:rsidR="008E42BB" w:rsidRDefault="008E42BB" w:rsidP="001E1B45">
            <w:pPr>
              <w:pStyle w:val="ListParagraph"/>
              <w:numPr>
                <w:ilvl w:val="0"/>
                <w:numId w:val="13"/>
              </w:numPr>
            </w:pPr>
            <w:r>
              <w:t>What is grammar?</w:t>
            </w:r>
          </w:p>
          <w:p w14:paraId="18A31318" w14:textId="77777777" w:rsidR="008E42BB" w:rsidRDefault="008E42BB" w:rsidP="001E1B45">
            <w:pPr>
              <w:pStyle w:val="ListParagraph"/>
              <w:numPr>
                <w:ilvl w:val="0"/>
                <w:numId w:val="13"/>
              </w:numPr>
            </w:pPr>
            <w:r>
              <w:t>Why does it matter?</w:t>
            </w:r>
          </w:p>
          <w:p w14:paraId="43204A7F" w14:textId="77777777" w:rsidR="008E42BB" w:rsidRDefault="008E42BB" w:rsidP="001E1B45">
            <w:pPr>
              <w:pStyle w:val="ListParagraph"/>
              <w:numPr>
                <w:ilvl w:val="0"/>
                <w:numId w:val="13"/>
              </w:numPr>
            </w:pPr>
            <w:r>
              <w:t>Writing standard English.</w:t>
            </w:r>
          </w:p>
          <w:p w14:paraId="48D6CE9E" w14:textId="77777777" w:rsidR="00FB64EF" w:rsidRPr="008E42BB" w:rsidRDefault="008E42BB" w:rsidP="001E1B45">
            <w:pPr>
              <w:pStyle w:val="ListParagraph"/>
              <w:numPr>
                <w:ilvl w:val="0"/>
                <w:numId w:val="13"/>
              </w:numPr>
            </w:pPr>
            <w:r>
              <w:t>How words work.</w:t>
            </w:r>
          </w:p>
        </w:tc>
        <w:tc>
          <w:tcPr>
            <w:tcW w:w="13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4D20" w14:textId="77777777" w:rsidR="00FB64EF" w:rsidRPr="006C717C" w:rsidRDefault="00DD3E97" w:rsidP="001E1B45">
            <w:r w:rsidRPr="006C717C">
              <w:t>Welcome</w:t>
            </w:r>
          </w:p>
          <w:p w14:paraId="59B8BAA3" w14:textId="77777777" w:rsidR="00FB64EF" w:rsidRPr="006C717C" w:rsidRDefault="00DD3E97" w:rsidP="001E1B45">
            <w:r w:rsidRPr="006C717C">
              <w:t>Diagnostic test</w:t>
            </w:r>
          </w:p>
          <w:p w14:paraId="1EDCDC5A" w14:textId="77777777" w:rsidR="00FB64EF" w:rsidRPr="006C717C" w:rsidRDefault="00DD3E97" w:rsidP="001E1B45">
            <w:r w:rsidRPr="006C717C">
              <w:t>3 learning sequences</w:t>
            </w:r>
          </w:p>
          <w:p w14:paraId="19FE3A12" w14:textId="77777777" w:rsidR="00FB64EF" w:rsidRPr="00032275" w:rsidRDefault="00DD3E97" w:rsidP="001E1B45">
            <w:r w:rsidRPr="00032275">
              <w:t>10 question quiz</w:t>
            </w:r>
          </w:p>
        </w:tc>
      </w:tr>
      <w:tr w:rsidR="00FB64EF" w:rsidRPr="006C717C" w14:paraId="47944872" w14:textId="77777777" w:rsidTr="00DD3E97">
        <w:tc>
          <w:tcPr>
            <w:tcW w:w="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31CC" w14:textId="77777777" w:rsidR="00FB64EF" w:rsidRPr="006C717C" w:rsidRDefault="00DD3E97" w:rsidP="001E1B45">
            <w:r w:rsidRPr="006C717C">
              <w:t>2</w:t>
            </w:r>
          </w:p>
        </w:tc>
        <w:tc>
          <w:tcPr>
            <w:tcW w:w="31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295D" w14:textId="77777777" w:rsidR="00E73BF9" w:rsidRPr="00E73BF9" w:rsidRDefault="00E73BF9" w:rsidP="001E1B45">
            <w:r w:rsidRPr="00E73BF9">
              <w:t>Introduction to Sentences</w:t>
            </w:r>
          </w:p>
          <w:p w14:paraId="264EAEDA" w14:textId="77777777" w:rsidR="008E42BB" w:rsidRPr="008E42BB" w:rsidRDefault="008E42BB" w:rsidP="001E1B45">
            <w:pPr>
              <w:pStyle w:val="ListParagraph"/>
              <w:numPr>
                <w:ilvl w:val="0"/>
                <w:numId w:val="14"/>
              </w:numPr>
            </w:pPr>
            <w:r w:rsidRPr="008E42BB">
              <w:t>P</w:t>
            </w:r>
            <w:r w:rsidR="00E73BF9" w:rsidRPr="008E42BB">
              <w:t>arts of speech and word classes</w:t>
            </w:r>
          </w:p>
          <w:p w14:paraId="3396A169" w14:textId="77777777" w:rsidR="008E42BB" w:rsidRPr="008E42BB" w:rsidRDefault="00DD3E97" w:rsidP="001E1B45">
            <w:pPr>
              <w:pStyle w:val="ListParagraph"/>
              <w:numPr>
                <w:ilvl w:val="0"/>
                <w:numId w:val="14"/>
              </w:numPr>
            </w:pPr>
            <w:r w:rsidRPr="008E42BB">
              <w:t>structure and patterns of sentences</w:t>
            </w:r>
          </w:p>
          <w:p w14:paraId="34BB062C" w14:textId="77777777" w:rsidR="008E42BB" w:rsidRPr="008E42BB" w:rsidRDefault="00DD3E97" w:rsidP="001E1B45">
            <w:pPr>
              <w:pStyle w:val="ListParagraph"/>
              <w:numPr>
                <w:ilvl w:val="0"/>
                <w:numId w:val="14"/>
              </w:numPr>
            </w:pPr>
            <w:r w:rsidRPr="008E42BB">
              <w:t>phrases</w:t>
            </w:r>
          </w:p>
          <w:p w14:paraId="05E89556" w14:textId="77777777" w:rsidR="008E42BB" w:rsidRPr="008E42BB" w:rsidRDefault="00DD3E97" w:rsidP="001E1B45">
            <w:pPr>
              <w:pStyle w:val="ListParagraph"/>
              <w:numPr>
                <w:ilvl w:val="0"/>
                <w:numId w:val="14"/>
              </w:numPr>
            </w:pPr>
            <w:r w:rsidRPr="008E42BB">
              <w:t>clauses</w:t>
            </w:r>
          </w:p>
          <w:p w14:paraId="46B5C56E" w14:textId="77777777" w:rsidR="00FB64EF" w:rsidRPr="008E42BB" w:rsidRDefault="008E42BB" w:rsidP="001E1B45">
            <w:pPr>
              <w:pStyle w:val="ListParagraph"/>
              <w:numPr>
                <w:ilvl w:val="0"/>
                <w:numId w:val="14"/>
              </w:numPr>
            </w:pPr>
            <w:r w:rsidRPr="008E42BB">
              <w:t>common sentence-level problems</w:t>
            </w:r>
          </w:p>
        </w:tc>
        <w:tc>
          <w:tcPr>
            <w:tcW w:w="13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E7D9" w14:textId="77777777" w:rsidR="00FB64EF" w:rsidRPr="006C717C" w:rsidRDefault="00DD3E97" w:rsidP="001E1B45">
            <w:r w:rsidRPr="006C717C">
              <w:t>Overview</w:t>
            </w:r>
          </w:p>
          <w:p w14:paraId="01C25657" w14:textId="77777777" w:rsidR="00FB64EF" w:rsidRPr="006C717C" w:rsidRDefault="00DD3E97" w:rsidP="001E1B45">
            <w:r w:rsidRPr="006C717C">
              <w:t>3 learning sequences</w:t>
            </w:r>
          </w:p>
          <w:p w14:paraId="1776E74E" w14:textId="77777777" w:rsidR="00FB64EF" w:rsidRPr="00032275" w:rsidRDefault="00DD3E97" w:rsidP="001E1B45">
            <w:r w:rsidRPr="00032275">
              <w:t>10 Question quiz</w:t>
            </w:r>
          </w:p>
        </w:tc>
      </w:tr>
      <w:tr w:rsidR="00FB64EF" w:rsidRPr="006C717C" w14:paraId="138EB969" w14:textId="77777777" w:rsidTr="00DD3E97">
        <w:tc>
          <w:tcPr>
            <w:tcW w:w="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153B" w14:textId="77777777" w:rsidR="00FB64EF" w:rsidRPr="006C717C" w:rsidRDefault="00DD3E97" w:rsidP="001E1B45">
            <w:r w:rsidRPr="006C717C">
              <w:t>3</w:t>
            </w:r>
          </w:p>
        </w:tc>
        <w:tc>
          <w:tcPr>
            <w:tcW w:w="31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4DC7" w14:textId="77777777" w:rsidR="00E73BF9" w:rsidRDefault="00DD3E97" w:rsidP="001E1B45">
            <w:r w:rsidRPr="00E73BF9">
              <w:t>Introduction to Verbs</w:t>
            </w:r>
          </w:p>
          <w:p w14:paraId="752FA0DC" w14:textId="77777777" w:rsidR="008E42BB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Finite and non-finite verbs</w:t>
            </w:r>
          </w:p>
          <w:p w14:paraId="3F3B0265" w14:textId="77777777" w:rsidR="008E42BB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L</w:t>
            </w:r>
            <w:r w:rsidR="00DD3E97" w:rsidRPr="005C2A72">
              <w:t>inking verbs</w:t>
            </w:r>
          </w:p>
          <w:p w14:paraId="55D7BAE0" w14:textId="77777777" w:rsidR="008E42BB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A</w:t>
            </w:r>
            <w:r w:rsidR="00DD3E97" w:rsidRPr="005C2A72">
              <w:t>uxiliary verbs</w:t>
            </w:r>
          </w:p>
          <w:p w14:paraId="50290994" w14:textId="77777777" w:rsidR="008E42BB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T</w:t>
            </w:r>
            <w:r w:rsidR="00DD3E97" w:rsidRPr="005C2A72">
              <w:t>ransitive and intransitive verbs</w:t>
            </w:r>
          </w:p>
          <w:p w14:paraId="51614350" w14:textId="77777777" w:rsidR="008E42BB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V</w:t>
            </w:r>
            <w:r w:rsidR="00DD3E97" w:rsidRPr="005C2A72">
              <w:t>erb phrases</w:t>
            </w:r>
          </w:p>
          <w:p w14:paraId="1B603805" w14:textId="77777777" w:rsidR="008E42BB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P</w:t>
            </w:r>
            <w:r w:rsidR="00DD3E97" w:rsidRPr="005C2A72">
              <w:t>hrasal verbs</w:t>
            </w:r>
          </w:p>
          <w:p w14:paraId="5551D721" w14:textId="77777777" w:rsidR="008E42BB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V</w:t>
            </w:r>
            <w:r w:rsidR="00DD3E97" w:rsidRPr="005C2A72">
              <w:t>erbal phrases</w:t>
            </w:r>
          </w:p>
          <w:p w14:paraId="3FB6F97C" w14:textId="77777777" w:rsidR="008E42BB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I</w:t>
            </w:r>
            <w:r w:rsidR="00DD3E97" w:rsidRPr="005C2A72">
              <w:t>nfinitives, participles, and gerunds</w:t>
            </w:r>
          </w:p>
          <w:p w14:paraId="698DE47C" w14:textId="77777777" w:rsidR="00FB64EF" w:rsidRPr="005C2A72" w:rsidRDefault="008E42BB" w:rsidP="001E1B45">
            <w:pPr>
              <w:pStyle w:val="ListParagraph"/>
              <w:numPr>
                <w:ilvl w:val="0"/>
                <w:numId w:val="15"/>
              </w:numPr>
            </w:pPr>
            <w:r w:rsidRPr="005C2A72">
              <w:t>T</w:t>
            </w:r>
            <w:r w:rsidR="00DD3E97" w:rsidRPr="005C2A72">
              <w:t>ense, mood, and vo</w:t>
            </w:r>
            <w:r w:rsidRPr="005C2A72">
              <w:t>ice of verbs</w:t>
            </w:r>
          </w:p>
        </w:tc>
        <w:tc>
          <w:tcPr>
            <w:tcW w:w="13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4C1B" w14:textId="77777777" w:rsidR="00FB64EF" w:rsidRPr="006C717C" w:rsidRDefault="00DD3E97" w:rsidP="001E1B45">
            <w:r w:rsidRPr="006C717C">
              <w:t>Overview</w:t>
            </w:r>
          </w:p>
          <w:p w14:paraId="5F0B603A" w14:textId="77777777" w:rsidR="00FB64EF" w:rsidRPr="006C717C" w:rsidRDefault="00DD3E97" w:rsidP="001E1B45">
            <w:r w:rsidRPr="006C717C">
              <w:t>2 learning sequences</w:t>
            </w:r>
          </w:p>
          <w:p w14:paraId="527788A8" w14:textId="77777777" w:rsidR="00FB64EF" w:rsidRPr="006C0497" w:rsidRDefault="00DD3E97" w:rsidP="001E1B45">
            <w:r w:rsidRPr="006C0497">
              <w:t>10 question quiz</w:t>
            </w:r>
          </w:p>
          <w:p w14:paraId="4EC26AF9" w14:textId="7D3A799F" w:rsidR="00FB64EF" w:rsidRPr="006C717C" w:rsidRDefault="00FB64EF" w:rsidP="001E1B45"/>
        </w:tc>
      </w:tr>
      <w:tr w:rsidR="00FB64EF" w:rsidRPr="006C717C" w14:paraId="2AE4F885" w14:textId="77777777" w:rsidTr="00DD3E97">
        <w:tc>
          <w:tcPr>
            <w:tcW w:w="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BAA6" w14:textId="77777777" w:rsidR="00FB64EF" w:rsidRPr="006C717C" w:rsidRDefault="00DD3E97" w:rsidP="001E1B45">
            <w:r w:rsidRPr="006C717C">
              <w:t>4</w:t>
            </w:r>
          </w:p>
        </w:tc>
        <w:tc>
          <w:tcPr>
            <w:tcW w:w="31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5369" w14:textId="77777777" w:rsidR="00E73BF9" w:rsidRDefault="00DD3E97" w:rsidP="001E1B45">
            <w:r w:rsidRPr="00E73BF9">
              <w:t>Introduction to Nouns and Pronouns</w:t>
            </w:r>
          </w:p>
          <w:p w14:paraId="0260CC93" w14:textId="77777777" w:rsidR="005C2A72" w:rsidRDefault="005C2A72" w:rsidP="001E1B45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DD3E97" w:rsidRPr="006C717C">
              <w:t>orm and function of nouns: noun strings and nominalisations</w:t>
            </w:r>
          </w:p>
          <w:p w14:paraId="5694C665" w14:textId="77777777" w:rsidR="005C2A72" w:rsidRDefault="005C2A72" w:rsidP="001E1B45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DD3E97" w:rsidRPr="006C717C">
              <w:t>orm and function of pronouns</w:t>
            </w:r>
          </w:p>
          <w:p w14:paraId="248BE3DE" w14:textId="77777777" w:rsidR="00FB64EF" w:rsidRPr="006C717C" w:rsidRDefault="005C2A72" w:rsidP="001E1B45">
            <w:pPr>
              <w:pStyle w:val="ListParagraph"/>
              <w:numPr>
                <w:ilvl w:val="0"/>
                <w:numId w:val="15"/>
              </w:numPr>
            </w:pPr>
            <w:r>
              <w:t>Problems with pronouns</w:t>
            </w:r>
          </w:p>
        </w:tc>
        <w:tc>
          <w:tcPr>
            <w:tcW w:w="13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7798" w14:textId="77777777" w:rsidR="00FB64EF" w:rsidRPr="006C717C" w:rsidRDefault="00DD3E97" w:rsidP="001E1B45">
            <w:r w:rsidRPr="006C717C">
              <w:t>Overview</w:t>
            </w:r>
          </w:p>
          <w:p w14:paraId="2445C1AF" w14:textId="77777777" w:rsidR="00FB64EF" w:rsidRPr="006C717C" w:rsidRDefault="00DD3E97" w:rsidP="001E1B45">
            <w:r w:rsidRPr="006C717C">
              <w:t>3 learning sequences</w:t>
            </w:r>
          </w:p>
          <w:p w14:paraId="23242AA5" w14:textId="77777777" w:rsidR="00FB64EF" w:rsidRPr="006C0497" w:rsidRDefault="00DD3E97" w:rsidP="001E1B45">
            <w:r w:rsidRPr="006C0497">
              <w:t>10 question quiz</w:t>
            </w:r>
          </w:p>
          <w:p w14:paraId="3D84CE23" w14:textId="4758B69B" w:rsidR="00FB64EF" w:rsidRPr="00032275" w:rsidRDefault="00FB64EF" w:rsidP="001E1B45"/>
        </w:tc>
      </w:tr>
      <w:tr w:rsidR="00FB64EF" w:rsidRPr="006C717C" w14:paraId="7AC8D389" w14:textId="77777777" w:rsidTr="00DD3E97">
        <w:tc>
          <w:tcPr>
            <w:tcW w:w="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DE0F" w14:textId="77777777" w:rsidR="00FB64EF" w:rsidRPr="006C717C" w:rsidRDefault="00DD3E97" w:rsidP="001E1B45">
            <w:r w:rsidRPr="006C717C">
              <w:t>5</w:t>
            </w:r>
          </w:p>
        </w:tc>
        <w:tc>
          <w:tcPr>
            <w:tcW w:w="31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B3D4" w14:textId="77777777" w:rsidR="00E73BF9" w:rsidRDefault="00DD3E97" w:rsidP="001E1B45">
            <w:r w:rsidRPr="00E73BF9">
              <w:t>Introduction to Adjectives and Determiners</w:t>
            </w:r>
          </w:p>
          <w:p w14:paraId="04B47F58" w14:textId="77777777" w:rsidR="005C2A72" w:rsidRDefault="00E73BF9" w:rsidP="001E1B45">
            <w:pPr>
              <w:pStyle w:val="ListParagraph"/>
              <w:numPr>
                <w:ilvl w:val="0"/>
                <w:numId w:val="15"/>
              </w:numPr>
            </w:pPr>
            <w:r>
              <w:t xml:space="preserve">Form, </w:t>
            </w:r>
            <w:r w:rsidR="00DD3E97" w:rsidRPr="006C717C">
              <w:t>function, and use of adjectives including the ‘Royal Order of Adjecti</w:t>
            </w:r>
            <w:r>
              <w:t>ves’ and degrees of comparison</w:t>
            </w:r>
          </w:p>
          <w:p w14:paraId="1B8616B5" w14:textId="77777777" w:rsidR="00FB64EF" w:rsidRPr="006C717C" w:rsidRDefault="005C2A72" w:rsidP="001E1B45">
            <w:pPr>
              <w:pStyle w:val="ListParagraph"/>
              <w:numPr>
                <w:ilvl w:val="0"/>
                <w:numId w:val="15"/>
              </w:numPr>
            </w:pPr>
            <w:r>
              <w:t>A</w:t>
            </w:r>
            <w:r w:rsidR="00DD3E97" w:rsidRPr="006C717C">
              <w:t xml:space="preserve">djectival sequencing, punctuation, and determiners </w:t>
            </w:r>
          </w:p>
        </w:tc>
        <w:tc>
          <w:tcPr>
            <w:tcW w:w="13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D907" w14:textId="77777777" w:rsidR="00FB64EF" w:rsidRPr="006C717C" w:rsidRDefault="00DD3E97" w:rsidP="001E1B45">
            <w:r w:rsidRPr="006C717C">
              <w:t>Overview</w:t>
            </w:r>
          </w:p>
          <w:p w14:paraId="678F88A7" w14:textId="77777777" w:rsidR="00FB64EF" w:rsidRPr="006C717C" w:rsidRDefault="00DD3E97" w:rsidP="001E1B45">
            <w:r w:rsidRPr="006C717C">
              <w:t>2 learning sequences</w:t>
            </w:r>
          </w:p>
          <w:p w14:paraId="087A67D5" w14:textId="77777777" w:rsidR="00FB64EF" w:rsidRPr="006C0497" w:rsidRDefault="00DD3E97" w:rsidP="001E1B45">
            <w:r w:rsidRPr="006C0497">
              <w:t>10 question quiz</w:t>
            </w:r>
          </w:p>
          <w:p w14:paraId="5AEE15D8" w14:textId="09B6445B" w:rsidR="00FB64EF" w:rsidRPr="006C717C" w:rsidRDefault="006749E8" w:rsidP="006749E8">
            <w:r>
              <w:t>Style Guide Entry 1</w:t>
            </w:r>
            <w:r w:rsidR="00DD3E97" w:rsidRPr="006C717C">
              <w:t xml:space="preserve"> set</w:t>
            </w:r>
          </w:p>
        </w:tc>
      </w:tr>
      <w:tr w:rsidR="00FB64EF" w:rsidRPr="006C717C" w14:paraId="7583CC78" w14:textId="77777777" w:rsidTr="00DD3E97">
        <w:tc>
          <w:tcPr>
            <w:tcW w:w="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2755" w14:textId="77777777" w:rsidR="00FB64EF" w:rsidRPr="006C717C" w:rsidRDefault="00DD3E97" w:rsidP="001E1B45">
            <w:r w:rsidRPr="006C717C">
              <w:t>6</w:t>
            </w:r>
          </w:p>
        </w:tc>
        <w:tc>
          <w:tcPr>
            <w:tcW w:w="31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A566" w14:textId="77777777" w:rsidR="00E73BF9" w:rsidRDefault="00DD3E97" w:rsidP="001E1B45">
            <w:r w:rsidRPr="00E73BF9">
              <w:t>Introduction to Adverbs and Conjunctions</w:t>
            </w:r>
          </w:p>
          <w:p w14:paraId="780AF266" w14:textId="77777777" w:rsidR="005C2A72" w:rsidRPr="005C2A72" w:rsidRDefault="005C2A72" w:rsidP="001E1B45">
            <w:pPr>
              <w:pStyle w:val="ListParagraph"/>
              <w:numPr>
                <w:ilvl w:val="0"/>
                <w:numId w:val="16"/>
              </w:numPr>
            </w:pPr>
            <w:r w:rsidRPr="005C2A72">
              <w:t>F</w:t>
            </w:r>
            <w:r w:rsidR="00DD3E97" w:rsidRPr="005C2A72">
              <w:t>orm, function, degrees of compa</w:t>
            </w:r>
            <w:r w:rsidRPr="005C2A72">
              <w:t>rison, and placement of adverbs</w:t>
            </w:r>
          </w:p>
          <w:p w14:paraId="570223AC" w14:textId="77777777" w:rsidR="005C2A72" w:rsidRPr="005C2A72" w:rsidRDefault="005C2A72" w:rsidP="001E1B45">
            <w:pPr>
              <w:pStyle w:val="ListParagraph"/>
              <w:numPr>
                <w:ilvl w:val="0"/>
                <w:numId w:val="16"/>
              </w:numPr>
            </w:pPr>
            <w:r w:rsidRPr="005C2A72">
              <w:t>I</w:t>
            </w:r>
            <w:r w:rsidR="00DD3E97" w:rsidRPr="005C2A72">
              <w:t>ntensifiers</w:t>
            </w:r>
          </w:p>
          <w:p w14:paraId="081F57A0" w14:textId="77777777" w:rsidR="00FB64EF" w:rsidRPr="005C2A72" w:rsidRDefault="005C2A72" w:rsidP="001E1B45">
            <w:pPr>
              <w:pStyle w:val="ListParagraph"/>
              <w:numPr>
                <w:ilvl w:val="0"/>
                <w:numId w:val="16"/>
              </w:numPr>
            </w:pPr>
            <w:r w:rsidRPr="005C2A72">
              <w:t>Weasels</w:t>
            </w:r>
          </w:p>
        </w:tc>
        <w:tc>
          <w:tcPr>
            <w:tcW w:w="13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5C4F" w14:textId="77777777" w:rsidR="00FB64EF" w:rsidRPr="006C717C" w:rsidRDefault="00DD3E97" w:rsidP="001E1B45">
            <w:r w:rsidRPr="006C717C">
              <w:t>Overview</w:t>
            </w:r>
          </w:p>
          <w:p w14:paraId="58EF0B9A" w14:textId="77777777" w:rsidR="00FB64EF" w:rsidRPr="006C717C" w:rsidRDefault="00DD3E97" w:rsidP="001E1B45">
            <w:r w:rsidRPr="006C717C">
              <w:t>2 learning sequences</w:t>
            </w:r>
          </w:p>
          <w:p w14:paraId="659D0908" w14:textId="77777777" w:rsidR="00FB64EF" w:rsidRPr="006C0497" w:rsidRDefault="00DD3E97" w:rsidP="001E1B45">
            <w:r w:rsidRPr="006C0497">
              <w:t>10 question quiz</w:t>
            </w:r>
          </w:p>
          <w:p w14:paraId="54705BEF" w14:textId="138DC833" w:rsidR="00FB64EF" w:rsidRPr="00032275" w:rsidRDefault="006749E8" w:rsidP="006749E8">
            <w:r>
              <w:t>Style Guide Entry 1</w:t>
            </w:r>
            <w:r w:rsidRPr="006C717C">
              <w:t xml:space="preserve"> </w:t>
            </w:r>
            <w:r>
              <w:t>due</w:t>
            </w:r>
          </w:p>
        </w:tc>
      </w:tr>
      <w:tr w:rsidR="00FB64EF" w:rsidRPr="006C717C" w14:paraId="70CDA8A3" w14:textId="77777777" w:rsidTr="00DD3E97">
        <w:tc>
          <w:tcPr>
            <w:tcW w:w="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FFF8" w14:textId="77777777" w:rsidR="00FB64EF" w:rsidRPr="006C717C" w:rsidRDefault="00DD3E97" w:rsidP="001E1B45">
            <w:r w:rsidRPr="006C717C">
              <w:lastRenderedPageBreak/>
              <w:t>7</w:t>
            </w:r>
          </w:p>
        </w:tc>
        <w:tc>
          <w:tcPr>
            <w:tcW w:w="31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A7FB" w14:textId="77777777" w:rsidR="00E73BF9" w:rsidRDefault="00DD3E97" w:rsidP="001E1B45">
            <w:r w:rsidRPr="00E73BF9">
              <w:t>Introduction to Prepositions and Paragraphs</w:t>
            </w:r>
          </w:p>
          <w:p w14:paraId="45C02EAF" w14:textId="77777777" w:rsidR="008E42BB" w:rsidRPr="008E42BB" w:rsidRDefault="00E73BF9" w:rsidP="001E1B45">
            <w:pPr>
              <w:pStyle w:val="ListParagraph"/>
              <w:numPr>
                <w:ilvl w:val="0"/>
                <w:numId w:val="12"/>
              </w:numPr>
            </w:pPr>
            <w:r w:rsidRPr="008E42BB">
              <w:t>Identify</w:t>
            </w:r>
            <w:r w:rsidRPr="008E42BB">
              <w:rPr>
                <w:b/>
              </w:rPr>
              <w:t xml:space="preserve"> </w:t>
            </w:r>
            <w:r w:rsidR="00DD3E97" w:rsidRPr="008E42BB">
              <w:t>how prepositions function</w:t>
            </w:r>
          </w:p>
          <w:p w14:paraId="78CBDBFE" w14:textId="77777777" w:rsidR="008E42BB" w:rsidRPr="008E42BB" w:rsidRDefault="008E42BB" w:rsidP="001E1B45">
            <w:pPr>
              <w:pStyle w:val="ListParagraph"/>
              <w:numPr>
                <w:ilvl w:val="0"/>
                <w:numId w:val="12"/>
              </w:numPr>
            </w:pPr>
            <w:r w:rsidRPr="008E42BB">
              <w:t>Problems associated with the use of prepositions</w:t>
            </w:r>
          </w:p>
          <w:p w14:paraId="3FC3991B" w14:textId="77777777" w:rsidR="00FB64EF" w:rsidRPr="008E42BB" w:rsidRDefault="00E73BF9" w:rsidP="001E1B45">
            <w:pPr>
              <w:pStyle w:val="ListParagraph"/>
              <w:numPr>
                <w:ilvl w:val="0"/>
                <w:numId w:val="12"/>
              </w:numPr>
            </w:pPr>
            <w:r w:rsidRPr="008E42BB">
              <w:t xml:space="preserve">Paragraph development and cohesive ties </w:t>
            </w:r>
          </w:p>
        </w:tc>
        <w:tc>
          <w:tcPr>
            <w:tcW w:w="13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8822" w14:textId="77777777" w:rsidR="00FB64EF" w:rsidRPr="006C717C" w:rsidRDefault="00DD3E97" w:rsidP="001E1B45">
            <w:r w:rsidRPr="006C717C">
              <w:t>Overview</w:t>
            </w:r>
          </w:p>
          <w:p w14:paraId="13D46CB3" w14:textId="77777777" w:rsidR="00FB64EF" w:rsidRPr="006C717C" w:rsidRDefault="00DD3E97" w:rsidP="001E1B45">
            <w:r w:rsidRPr="006C717C">
              <w:t>2 learning sequences</w:t>
            </w:r>
          </w:p>
          <w:p w14:paraId="575ADB87" w14:textId="77777777" w:rsidR="00FB64EF" w:rsidRPr="006C0497" w:rsidRDefault="00DD3E97" w:rsidP="001E1B45">
            <w:r w:rsidRPr="006C0497">
              <w:t>10 question quiz</w:t>
            </w:r>
          </w:p>
          <w:p w14:paraId="53A4B557" w14:textId="7BCC4789" w:rsidR="00FB64EF" w:rsidRPr="006C717C" w:rsidRDefault="006749E8" w:rsidP="006749E8">
            <w:r>
              <w:t>Style Guide Entry 2</w:t>
            </w:r>
            <w:r w:rsidRPr="006C717C">
              <w:t xml:space="preserve"> set</w:t>
            </w:r>
          </w:p>
        </w:tc>
      </w:tr>
      <w:tr w:rsidR="00FB64EF" w:rsidRPr="006C717C" w14:paraId="39B93789" w14:textId="77777777" w:rsidTr="00DD3E97">
        <w:tc>
          <w:tcPr>
            <w:tcW w:w="4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73D9" w14:textId="77777777" w:rsidR="00FB64EF" w:rsidRPr="006C717C" w:rsidRDefault="00DD3E97" w:rsidP="001E1B45">
            <w:r w:rsidRPr="006C717C">
              <w:t>8</w:t>
            </w:r>
          </w:p>
        </w:tc>
        <w:tc>
          <w:tcPr>
            <w:tcW w:w="316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FE69" w14:textId="77777777" w:rsidR="00E73BF9" w:rsidRDefault="00DD3E97" w:rsidP="001E1B45">
            <w:r w:rsidRPr="00E73BF9">
              <w:t>Introduction to Punctuation</w:t>
            </w:r>
          </w:p>
          <w:p w14:paraId="4D57CCEC" w14:textId="77777777" w:rsidR="00FB64EF" w:rsidRPr="005C2A72" w:rsidRDefault="00E73BF9" w:rsidP="001E1B45">
            <w:pPr>
              <w:pStyle w:val="ListParagraph"/>
              <w:numPr>
                <w:ilvl w:val="0"/>
                <w:numId w:val="17"/>
              </w:numPr>
            </w:pPr>
            <w:r w:rsidRPr="005C2A72">
              <w:t>E</w:t>
            </w:r>
            <w:r w:rsidR="00DD3E97" w:rsidRPr="005C2A72">
              <w:t>xplore punctuation marks</w:t>
            </w:r>
            <w:r w:rsidRPr="005C2A72">
              <w:t xml:space="preserve"> and associated problems.</w:t>
            </w:r>
          </w:p>
        </w:tc>
        <w:tc>
          <w:tcPr>
            <w:tcW w:w="138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5E37" w14:textId="77777777" w:rsidR="00FB64EF" w:rsidRPr="006C717C" w:rsidRDefault="00DD3E97" w:rsidP="001E1B45">
            <w:r w:rsidRPr="006C717C">
              <w:t>Overview</w:t>
            </w:r>
          </w:p>
          <w:p w14:paraId="64F42DB5" w14:textId="77777777" w:rsidR="00FB64EF" w:rsidRPr="006C717C" w:rsidRDefault="00DD3E97" w:rsidP="001E1B45">
            <w:r w:rsidRPr="006C717C">
              <w:t>2 learning sequences</w:t>
            </w:r>
          </w:p>
          <w:p w14:paraId="068A6EC5" w14:textId="77777777" w:rsidR="00FB64EF" w:rsidRPr="006C0497" w:rsidRDefault="00DD3E97" w:rsidP="001E1B45">
            <w:r w:rsidRPr="006C0497">
              <w:t>10 question quiz</w:t>
            </w:r>
          </w:p>
          <w:p w14:paraId="7E7EE1BA" w14:textId="3789005F" w:rsidR="006749E8" w:rsidRDefault="006749E8" w:rsidP="001E1B45">
            <w:r>
              <w:t>Style Guide Entry 2</w:t>
            </w:r>
            <w:r w:rsidRPr="006C717C">
              <w:t xml:space="preserve"> </w:t>
            </w:r>
            <w:r>
              <w:t>due</w:t>
            </w:r>
          </w:p>
          <w:p w14:paraId="12C564D0" w14:textId="64A69DD2" w:rsidR="00FB64EF" w:rsidRPr="006C717C" w:rsidRDefault="00DD3E97" w:rsidP="001E1B45">
            <w:r w:rsidRPr="006C717C">
              <w:t>End of course survey</w:t>
            </w:r>
          </w:p>
        </w:tc>
      </w:tr>
    </w:tbl>
    <w:p w14:paraId="2BC06E4B" w14:textId="77777777" w:rsidR="00503904" w:rsidRDefault="00503904" w:rsidP="006749E8">
      <w:pPr>
        <w:rPr>
          <w:rStyle w:val="IntenseReference"/>
        </w:rPr>
      </w:pPr>
      <w:bookmarkStart w:id="10" w:name="_juzra6ow8d55" w:colFirst="0" w:colLast="0"/>
      <w:bookmarkEnd w:id="10"/>
    </w:p>
    <w:p w14:paraId="79371829" w14:textId="2F82CCED" w:rsidR="006749E8" w:rsidRPr="00032275" w:rsidRDefault="00EE2400" w:rsidP="006749E8">
      <w:pPr>
        <w:rPr>
          <w:rStyle w:val="IntenseReference"/>
        </w:rPr>
      </w:pPr>
      <w:r>
        <w:rPr>
          <w:rStyle w:val="IntenseReference"/>
        </w:rPr>
        <w:t>WRIT1101X</w:t>
      </w:r>
      <w:r w:rsidR="006749E8">
        <w:rPr>
          <w:rStyle w:val="IntenseReference"/>
        </w:rPr>
        <w:t xml:space="preserve"> VEP Companion</w:t>
      </w:r>
    </w:p>
    <w:p w14:paraId="020F52A8" w14:textId="3AC33B74" w:rsidR="008A5535" w:rsidRPr="001E1B45" w:rsidRDefault="009D5843" w:rsidP="001E1B45">
      <w:pPr>
        <w:rPr>
          <w:rStyle w:val="Strong"/>
          <w:rFonts w:asciiTheme="minorHAnsi" w:hAnsiTheme="minorHAnsi"/>
          <w:b w:val="0"/>
          <w:bCs w:val="0"/>
          <w:sz w:val="20"/>
        </w:rPr>
      </w:pPr>
      <w:r>
        <w:t>Required</w:t>
      </w:r>
      <w:r w:rsidR="00AC0E63">
        <w:t xml:space="preserve"> textbook, supplementary</w:t>
      </w:r>
      <w:r w:rsidR="00DD3E97" w:rsidRPr="006C717C">
        <w:t xml:space="preserve"> </w:t>
      </w:r>
      <w:r w:rsidR="00AC0E63">
        <w:t xml:space="preserve">readings, </w:t>
      </w:r>
      <w:r w:rsidR="00DD3E97" w:rsidRPr="006C717C">
        <w:t xml:space="preserve">and </w:t>
      </w:r>
      <w:r w:rsidR="00AC0E63">
        <w:t>comprehensive</w:t>
      </w:r>
      <w:r w:rsidR="006749E8">
        <w:t xml:space="preserve"> lecture notes</w:t>
      </w:r>
      <w:r w:rsidR="00DD3E97" w:rsidRPr="006C717C">
        <w:t>.</w:t>
      </w:r>
      <w:bookmarkStart w:id="11" w:name="_3rynylrhmab3" w:colFirst="0" w:colLast="0"/>
      <w:bookmarkEnd w:id="11"/>
    </w:p>
    <w:p w14:paraId="09DDFCAF" w14:textId="0974D3E5" w:rsidR="006749E8" w:rsidRDefault="00DD3E97" w:rsidP="006749E8">
      <w:pPr>
        <w:pStyle w:val="Heading2"/>
        <w:rPr>
          <w:rStyle w:val="Strong"/>
        </w:rPr>
      </w:pPr>
      <w:r w:rsidRPr="006C717C">
        <w:rPr>
          <w:rStyle w:val="Strong"/>
        </w:rPr>
        <w:t>Assessment</w:t>
      </w:r>
      <w:bookmarkStart w:id="12" w:name="_9353nbs1umr1" w:colFirst="0" w:colLast="0"/>
      <w:bookmarkStart w:id="13" w:name="_2lonqrmsmctv" w:colFirst="0" w:colLast="0"/>
      <w:bookmarkEnd w:id="12"/>
      <w:bookmarkEnd w:id="13"/>
    </w:p>
    <w:p w14:paraId="4041A8E4" w14:textId="3AA84BD4" w:rsidR="00FB64EF" w:rsidRPr="006749E8" w:rsidRDefault="00EE2400" w:rsidP="006749E8">
      <w:pPr>
        <w:pStyle w:val="Heading2"/>
        <w:rPr>
          <w:rStyle w:val="IntenseReference"/>
        </w:rPr>
      </w:pPr>
      <w:r>
        <w:rPr>
          <w:rStyle w:val="IntenseReference"/>
        </w:rPr>
        <w:t>WRIT1101X</w:t>
      </w:r>
      <w:r w:rsidR="00EA7568">
        <w:rPr>
          <w:rStyle w:val="IntenseReference"/>
        </w:rPr>
        <w:t xml:space="preserve"> MOOC</w:t>
      </w:r>
      <w:r w:rsidR="00247F82">
        <w:rPr>
          <w:rStyle w:val="IntenseReference"/>
        </w:rPr>
        <w:tab/>
      </w:r>
    </w:p>
    <w:p w14:paraId="18DC4749" w14:textId="45965CE8" w:rsidR="006C0497" w:rsidRPr="006C0497" w:rsidRDefault="006C0497" w:rsidP="001E1B45">
      <w:r>
        <w:t xml:space="preserve">MOOC </w:t>
      </w:r>
      <w:r w:rsidR="006749E8">
        <w:t>Verified C</w:t>
      </w:r>
      <w:r>
        <w:t>ertificate pass mark 50%</w:t>
      </w:r>
    </w:p>
    <w:tbl>
      <w:tblPr>
        <w:tblStyle w:val="a2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10"/>
        <w:gridCol w:w="1774"/>
      </w:tblGrid>
      <w:tr w:rsidR="00FB64EF" w:rsidRPr="006C717C" w14:paraId="68FF0D50" w14:textId="77777777" w:rsidTr="009C46F7">
        <w:trPr>
          <w:trHeight w:val="225"/>
        </w:trPr>
        <w:tc>
          <w:tcPr>
            <w:tcW w:w="40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FCC9" w14:textId="77777777" w:rsidR="00FB64EF" w:rsidRPr="001E1B45" w:rsidRDefault="00DD3E97" w:rsidP="001E1B45">
            <w:pPr>
              <w:rPr>
                <w:b/>
              </w:rPr>
            </w:pPr>
            <w:r w:rsidRPr="001E1B45">
              <w:rPr>
                <w:b/>
              </w:rPr>
              <w:t>Assessment Task</w:t>
            </w:r>
          </w:p>
        </w:tc>
        <w:tc>
          <w:tcPr>
            <w:tcW w:w="9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6936" w14:textId="77777777" w:rsidR="00FB64EF" w:rsidRPr="001E1B45" w:rsidRDefault="00DD3E97" w:rsidP="001E1B45">
            <w:pPr>
              <w:rPr>
                <w:b/>
              </w:rPr>
            </w:pPr>
            <w:r w:rsidRPr="001E1B45">
              <w:rPr>
                <w:b/>
              </w:rPr>
              <w:t>Weighting</w:t>
            </w:r>
          </w:p>
        </w:tc>
      </w:tr>
      <w:tr w:rsidR="00FB64EF" w:rsidRPr="006C717C" w14:paraId="18C4DB27" w14:textId="77777777" w:rsidTr="009C46F7">
        <w:trPr>
          <w:trHeight w:val="20"/>
        </w:trPr>
        <w:tc>
          <w:tcPr>
            <w:tcW w:w="40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A7F5" w14:textId="77777777" w:rsidR="00FB64EF" w:rsidRPr="00032275" w:rsidRDefault="00DD3E97" w:rsidP="001E1B45">
            <w:r w:rsidRPr="00032275">
              <w:t>8 x weekly quiz</w:t>
            </w:r>
          </w:p>
        </w:tc>
        <w:tc>
          <w:tcPr>
            <w:tcW w:w="9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1914" w14:textId="064B5219" w:rsidR="00FB64EF" w:rsidRPr="00032275" w:rsidRDefault="001E1A2F" w:rsidP="001E1B45">
            <w:r>
              <w:t>8</w:t>
            </w:r>
            <w:r w:rsidR="00DD3E97" w:rsidRPr="00032275">
              <w:t>0%</w:t>
            </w:r>
          </w:p>
        </w:tc>
      </w:tr>
      <w:tr w:rsidR="00FB64EF" w:rsidRPr="006C717C" w14:paraId="6DE0B6D3" w14:textId="77777777" w:rsidTr="009C46F7">
        <w:trPr>
          <w:trHeight w:val="20"/>
        </w:trPr>
        <w:tc>
          <w:tcPr>
            <w:tcW w:w="40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1433" w14:textId="57C6022C" w:rsidR="00FB64EF" w:rsidRPr="00032275" w:rsidRDefault="001E1A2F" w:rsidP="006749E8">
            <w:r>
              <w:t xml:space="preserve">Style-guide entry 1 (250- 300 words) + read &amp; grade </w:t>
            </w:r>
            <w:r w:rsidR="006749E8">
              <w:t>5</w:t>
            </w:r>
            <w:r w:rsidR="00DD3E97" w:rsidRPr="00032275">
              <w:t xml:space="preserve"> peers</w:t>
            </w:r>
          </w:p>
        </w:tc>
        <w:tc>
          <w:tcPr>
            <w:tcW w:w="9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C8BC" w14:textId="1AEBD4AD" w:rsidR="00FB64EF" w:rsidRPr="00032275" w:rsidRDefault="001E1A2F" w:rsidP="001E1B45">
            <w:r>
              <w:t>10</w:t>
            </w:r>
            <w:r w:rsidR="00DD3E97" w:rsidRPr="00032275">
              <w:t>%</w:t>
            </w:r>
          </w:p>
        </w:tc>
      </w:tr>
      <w:tr w:rsidR="001E1A2F" w:rsidRPr="006C717C" w14:paraId="47D5A6DB" w14:textId="77777777" w:rsidTr="009C46F7">
        <w:trPr>
          <w:trHeight w:val="20"/>
        </w:trPr>
        <w:tc>
          <w:tcPr>
            <w:tcW w:w="40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B4D5" w14:textId="6C6CC9E4" w:rsidR="001E1A2F" w:rsidRDefault="001E1A2F" w:rsidP="006749E8">
            <w:r>
              <w:t xml:space="preserve">Style-guide entry 2 (250- 300 words) + read &amp; grade </w:t>
            </w:r>
            <w:r w:rsidR="006749E8">
              <w:t>5</w:t>
            </w:r>
            <w:r w:rsidRPr="00032275">
              <w:t xml:space="preserve"> peers</w:t>
            </w:r>
          </w:p>
        </w:tc>
        <w:tc>
          <w:tcPr>
            <w:tcW w:w="94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0FD2" w14:textId="644AB7CE" w:rsidR="001E1A2F" w:rsidRPr="00032275" w:rsidRDefault="001E1A2F" w:rsidP="001E1B45">
            <w:r>
              <w:t>10%</w:t>
            </w:r>
          </w:p>
        </w:tc>
      </w:tr>
    </w:tbl>
    <w:p w14:paraId="0ED218D3" w14:textId="59FD4763" w:rsidR="00FB64EF" w:rsidRPr="004F1A03" w:rsidRDefault="00EE2400" w:rsidP="001E1B45">
      <w:pPr>
        <w:pStyle w:val="Heading3"/>
        <w:rPr>
          <w:rFonts w:ascii="Cambria" w:hAnsi="Cambria"/>
          <w:b/>
          <w:color w:val="2F5496" w:themeColor="accent5" w:themeShade="BF"/>
          <w:sz w:val="24"/>
          <w:szCs w:val="24"/>
        </w:rPr>
      </w:pPr>
      <w:bookmarkStart w:id="14" w:name="_46ypwxkro2uy" w:colFirst="0" w:colLast="0"/>
      <w:bookmarkEnd w:id="14"/>
      <w:r>
        <w:rPr>
          <w:rFonts w:ascii="Cambria" w:hAnsi="Cambria"/>
          <w:b/>
          <w:color w:val="2F5496" w:themeColor="accent5" w:themeShade="BF"/>
          <w:sz w:val="24"/>
          <w:szCs w:val="24"/>
        </w:rPr>
        <w:t>WRIT1101X</w:t>
      </w:r>
      <w:r w:rsidR="00EA7568" w:rsidRPr="004F1A03">
        <w:rPr>
          <w:rFonts w:ascii="Cambria" w:hAnsi="Cambria"/>
          <w:b/>
          <w:color w:val="2F5496" w:themeColor="accent5" w:themeShade="BF"/>
          <w:sz w:val="24"/>
          <w:szCs w:val="24"/>
        </w:rPr>
        <w:t xml:space="preserve"> </w:t>
      </w:r>
      <w:r w:rsidR="006749E8">
        <w:rPr>
          <w:rFonts w:ascii="Cambria" w:hAnsi="Cambria"/>
          <w:b/>
          <w:color w:val="2F5496" w:themeColor="accent5" w:themeShade="BF"/>
          <w:sz w:val="24"/>
          <w:szCs w:val="24"/>
        </w:rPr>
        <w:t>VEP Companion</w:t>
      </w:r>
    </w:p>
    <w:p w14:paraId="2D0F118C" w14:textId="41760FD0" w:rsidR="00FB64EF" w:rsidRDefault="008055E4" w:rsidP="001E1B45">
      <w:r>
        <w:t>The f</w:t>
      </w:r>
      <w:r w:rsidR="00DD3E97" w:rsidRPr="006C717C">
        <w:t xml:space="preserve">inal VEP grade </w:t>
      </w:r>
      <w:r w:rsidR="00F7156B">
        <w:t xml:space="preserve">is based on </w:t>
      </w:r>
      <w:r w:rsidR="00C755E5">
        <w:t xml:space="preserve">the </w:t>
      </w:r>
      <w:r w:rsidR="006749E8">
        <w:t>VEP Comp</w:t>
      </w:r>
      <w:r w:rsidR="00503904">
        <w:t>an</w:t>
      </w:r>
      <w:r w:rsidR="006749E8">
        <w:t>ion</w:t>
      </w:r>
      <w:r w:rsidR="00C755E5">
        <w:t xml:space="preserve"> </w:t>
      </w:r>
      <w:r>
        <w:t>assessment</w:t>
      </w:r>
      <w:r w:rsidR="00F7156B">
        <w:t xml:space="preserve"> with the provision that a pass in the MOOC assessment is </w:t>
      </w:r>
      <w:r w:rsidR="00DD3E97" w:rsidRPr="006C717C">
        <w:t>required for a VEP pass grade</w:t>
      </w:r>
      <w:r w:rsidR="00247F82">
        <w:t xml:space="preserve"> or higher</w:t>
      </w:r>
      <w:r w:rsidR="00DD3E97" w:rsidRPr="006C717C">
        <w:t>.</w:t>
      </w:r>
    </w:p>
    <w:p w14:paraId="0422E623" w14:textId="77777777" w:rsidR="008055E4" w:rsidRDefault="008055E4" w:rsidP="001E1B45"/>
    <w:p w14:paraId="203D5A69" w14:textId="694966A4" w:rsidR="008055E4" w:rsidRDefault="008055E4" w:rsidP="001E1B45">
      <w:r>
        <w:t xml:space="preserve">The VEP Companion assessment and weighting is currently being finalised and will </w:t>
      </w:r>
      <w:r w:rsidR="005B3168">
        <w:t>comprise</w:t>
      </w:r>
      <w:r>
        <w:t>:</w:t>
      </w:r>
    </w:p>
    <w:p w14:paraId="1F4BC8F8" w14:textId="31A0DE4C" w:rsidR="008055E4" w:rsidRDefault="008055E4" w:rsidP="008055E4">
      <w:pPr>
        <w:pStyle w:val="ListParagraph"/>
        <w:numPr>
          <w:ilvl w:val="0"/>
          <w:numId w:val="21"/>
        </w:numPr>
      </w:pPr>
      <w:r>
        <w:t xml:space="preserve">Participation in the </w:t>
      </w:r>
      <w:r w:rsidR="00EE2400">
        <w:t>WRIT1101X</w:t>
      </w:r>
      <w:r>
        <w:t xml:space="preserve"> MOOC discussion board</w:t>
      </w:r>
    </w:p>
    <w:p w14:paraId="10CAAD4B" w14:textId="06691AA4" w:rsidR="008055E4" w:rsidRDefault="008055E4" w:rsidP="008055E4">
      <w:pPr>
        <w:pStyle w:val="ListParagraph"/>
        <w:numPr>
          <w:ilvl w:val="0"/>
          <w:numId w:val="21"/>
        </w:numPr>
      </w:pPr>
      <w:r>
        <w:t>Quiz</w:t>
      </w:r>
      <w:r w:rsidR="00B452A2">
        <w:t>z</w:t>
      </w:r>
      <w:r>
        <w:t xml:space="preserve">es </w:t>
      </w:r>
    </w:p>
    <w:p w14:paraId="349E57AD" w14:textId="102B516C" w:rsidR="00FE5618" w:rsidRDefault="00FE5618" w:rsidP="008055E4">
      <w:pPr>
        <w:pStyle w:val="ListParagraph"/>
        <w:numPr>
          <w:ilvl w:val="0"/>
          <w:numId w:val="21"/>
        </w:numPr>
      </w:pPr>
      <w:r>
        <w:t>Final exam graded by the MOOC lead instructor</w:t>
      </w:r>
    </w:p>
    <w:p w14:paraId="33CB6A67" w14:textId="36AB1CA1" w:rsidR="008055E4" w:rsidRDefault="00FE5618" w:rsidP="008055E4">
      <w:pPr>
        <w:pStyle w:val="ListParagraph"/>
        <w:numPr>
          <w:ilvl w:val="0"/>
          <w:numId w:val="21"/>
        </w:numPr>
      </w:pPr>
      <w:r>
        <w:t>Style guide entries graded by the MOOC lead instructor</w:t>
      </w:r>
    </w:p>
    <w:p w14:paraId="30D7EACF" w14:textId="77777777" w:rsidR="00A463D9" w:rsidRDefault="00A463D9" w:rsidP="001E1B45"/>
    <w:p w14:paraId="7DB73966" w14:textId="77777777" w:rsidR="00A463D9" w:rsidRDefault="00A463D9" w:rsidP="001E1B45"/>
    <w:p w14:paraId="781B2586" w14:textId="371393C8" w:rsidR="006C0497" w:rsidRPr="00503904" w:rsidRDefault="006C0497" w:rsidP="001E1B45">
      <w:pPr>
        <w:rPr>
          <w:rFonts w:ascii="Cambria" w:hAnsi="Cambria"/>
          <w:b/>
          <w:sz w:val="28"/>
          <w:szCs w:val="28"/>
        </w:rPr>
      </w:pPr>
      <w:r w:rsidRPr="004F1A03">
        <w:rPr>
          <w:rFonts w:ascii="Cambria" w:hAnsi="Cambria"/>
          <w:b/>
          <w:sz w:val="28"/>
          <w:szCs w:val="28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6281"/>
      </w:tblGrid>
      <w:tr w:rsidR="00376C94" w:rsidRPr="00376C94" w14:paraId="09EF26B2" w14:textId="77777777" w:rsidTr="004E3024">
        <w:tc>
          <w:tcPr>
            <w:tcW w:w="0" w:type="auto"/>
          </w:tcPr>
          <w:p w14:paraId="7BFD44E4" w14:textId="674B4720" w:rsidR="00376C94" w:rsidRPr="00376C94" w:rsidRDefault="00FE5618" w:rsidP="001E1B45">
            <w:r>
              <w:t>26 June</w:t>
            </w:r>
          </w:p>
        </w:tc>
        <w:tc>
          <w:tcPr>
            <w:tcW w:w="0" w:type="auto"/>
          </w:tcPr>
          <w:p w14:paraId="3E48CD0C" w14:textId="77777777" w:rsidR="00376C94" w:rsidRPr="00376C94" w:rsidRDefault="00376C94" w:rsidP="001E1B45">
            <w:r w:rsidRPr="00376C94">
              <w:t>Final date to nominate at home institution</w:t>
            </w:r>
          </w:p>
        </w:tc>
      </w:tr>
      <w:tr w:rsidR="00376C94" w:rsidRPr="00376C94" w14:paraId="3D1103E0" w14:textId="77777777" w:rsidTr="004E3024">
        <w:tc>
          <w:tcPr>
            <w:tcW w:w="0" w:type="auto"/>
          </w:tcPr>
          <w:p w14:paraId="36AC2C44" w14:textId="7BC73EFD" w:rsidR="00376C94" w:rsidRPr="00376C94" w:rsidRDefault="00FE5618" w:rsidP="001E1B45">
            <w:r>
              <w:t>24 July</w:t>
            </w:r>
          </w:p>
        </w:tc>
        <w:tc>
          <w:tcPr>
            <w:tcW w:w="0" w:type="auto"/>
          </w:tcPr>
          <w:p w14:paraId="062B0FFD" w14:textId="77777777" w:rsidR="00376C94" w:rsidRPr="00376C94" w:rsidRDefault="00376C94" w:rsidP="001E1B45">
            <w:r w:rsidRPr="00376C94">
              <w:t>Commence MOOC study</w:t>
            </w:r>
          </w:p>
        </w:tc>
      </w:tr>
      <w:tr w:rsidR="00376C94" w:rsidRPr="00376C94" w14:paraId="5B2093AC" w14:textId="77777777" w:rsidTr="004E3024">
        <w:tc>
          <w:tcPr>
            <w:tcW w:w="0" w:type="auto"/>
          </w:tcPr>
          <w:p w14:paraId="50CE6D3C" w14:textId="3471CAA0" w:rsidR="00376C94" w:rsidRPr="00376C94" w:rsidRDefault="009350BD" w:rsidP="001E1B45">
            <w:r>
              <w:t>4 Aug</w:t>
            </w:r>
          </w:p>
        </w:tc>
        <w:tc>
          <w:tcPr>
            <w:tcW w:w="0" w:type="auto"/>
          </w:tcPr>
          <w:p w14:paraId="1A416DDE" w14:textId="08B63E52" w:rsidR="00376C94" w:rsidRPr="00376C94" w:rsidRDefault="00376C94" w:rsidP="00FE5618">
            <w:r w:rsidRPr="00376C94">
              <w:t xml:space="preserve">Last date to </w:t>
            </w:r>
            <w:r w:rsidR="00FE5618">
              <w:t>withdraw</w:t>
            </w:r>
            <w:r w:rsidRPr="00376C94">
              <w:t xml:space="preserve"> </w:t>
            </w:r>
            <w:r w:rsidR="00D564ED">
              <w:t>– no enrolment record retained</w:t>
            </w:r>
          </w:p>
        </w:tc>
      </w:tr>
      <w:tr w:rsidR="00376C94" w:rsidRPr="00376C94" w14:paraId="1CB3B81F" w14:textId="77777777" w:rsidTr="004E3024">
        <w:tc>
          <w:tcPr>
            <w:tcW w:w="0" w:type="auto"/>
          </w:tcPr>
          <w:p w14:paraId="0BCE05E7" w14:textId="0C773392" w:rsidR="00376C94" w:rsidRPr="00376C94" w:rsidRDefault="009350BD" w:rsidP="001E1B45">
            <w:r>
              <w:t>11 Aug</w:t>
            </w:r>
          </w:p>
        </w:tc>
        <w:tc>
          <w:tcPr>
            <w:tcW w:w="0" w:type="auto"/>
          </w:tcPr>
          <w:p w14:paraId="79C52F47" w14:textId="4F39467E" w:rsidR="00376C94" w:rsidRPr="00376C94" w:rsidRDefault="00376C94" w:rsidP="00FE5618">
            <w:r w:rsidRPr="00376C94">
              <w:t xml:space="preserve">Last date to </w:t>
            </w:r>
            <w:r w:rsidR="00FE5618">
              <w:t>withdraw</w:t>
            </w:r>
            <w:r w:rsidRPr="00376C94">
              <w:t xml:space="preserve"> </w:t>
            </w:r>
            <w:r w:rsidR="00D564ED">
              <w:t xml:space="preserve">– enrolment record retained but no </w:t>
            </w:r>
            <w:r w:rsidRPr="00376C94">
              <w:t>failure</w:t>
            </w:r>
            <w:r w:rsidR="00D564ED">
              <w:t xml:space="preserve"> recorded</w:t>
            </w:r>
          </w:p>
        </w:tc>
      </w:tr>
      <w:tr w:rsidR="00376C94" w:rsidRPr="00376C94" w14:paraId="22D98D68" w14:textId="77777777" w:rsidTr="004E3024">
        <w:tc>
          <w:tcPr>
            <w:tcW w:w="0" w:type="auto"/>
          </w:tcPr>
          <w:p w14:paraId="35AB4485" w14:textId="769563CB" w:rsidR="00376C94" w:rsidRPr="00376C94" w:rsidRDefault="0069471A" w:rsidP="001E1B45">
            <w:r>
              <w:t>18 Sept</w:t>
            </w:r>
          </w:p>
        </w:tc>
        <w:tc>
          <w:tcPr>
            <w:tcW w:w="0" w:type="auto"/>
          </w:tcPr>
          <w:p w14:paraId="06707232" w14:textId="6DA4F064" w:rsidR="00376C94" w:rsidRPr="00376C94" w:rsidRDefault="00FE5618" w:rsidP="001E1B45">
            <w:r>
              <w:t>MOOC study ends and final exam period starts</w:t>
            </w:r>
          </w:p>
        </w:tc>
      </w:tr>
      <w:tr w:rsidR="00FE5618" w:rsidRPr="00376C94" w14:paraId="6B028CC1" w14:textId="77777777" w:rsidTr="004E3024">
        <w:tc>
          <w:tcPr>
            <w:tcW w:w="0" w:type="auto"/>
          </w:tcPr>
          <w:p w14:paraId="2232934D" w14:textId="2C522C03" w:rsidR="00FE5618" w:rsidRDefault="0069471A" w:rsidP="001E1B45">
            <w:r>
              <w:t>25 Sept</w:t>
            </w:r>
          </w:p>
        </w:tc>
        <w:tc>
          <w:tcPr>
            <w:tcW w:w="0" w:type="auto"/>
          </w:tcPr>
          <w:p w14:paraId="0949B071" w14:textId="5C225636" w:rsidR="00FE5618" w:rsidRPr="00376C94" w:rsidRDefault="00FE5618" w:rsidP="001E1B45">
            <w:r>
              <w:t xml:space="preserve">Final exam period </w:t>
            </w:r>
            <w:r w:rsidR="0069471A">
              <w:t>ends</w:t>
            </w:r>
          </w:p>
        </w:tc>
      </w:tr>
    </w:tbl>
    <w:p w14:paraId="24BEE07D" w14:textId="77777777" w:rsidR="00820B0D" w:rsidRDefault="00820B0D" w:rsidP="001E1B45">
      <w:pPr>
        <w:rPr>
          <w:rStyle w:val="Strong"/>
        </w:rPr>
      </w:pPr>
    </w:p>
    <w:p w14:paraId="27A3B8E8" w14:textId="428D0017" w:rsidR="00EA0D17" w:rsidRPr="00EA0D17" w:rsidRDefault="00EA0D17" w:rsidP="001E1B45">
      <w:pPr>
        <w:rPr>
          <w:rStyle w:val="Strong"/>
        </w:rPr>
      </w:pPr>
      <w:r w:rsidRPr="00EA0D17">
        <w:rPr>
          <w:rStyle w:val="Strong"/>
        </w:rPr>
        <w:t>Policies</w:t>
      </w:r>
    </w:p>
    <w:p w14:paraId="51F2B69B" w14:textId="7F1118A7" w:rsidR="00EA0D17" w:rsidRPr="00EA0D17" w:rsidRDefault="00EA0D17" w:rsidP="001E1B45">
      <w:pPr>
        <w:rPr>
          <w:lang w:eastAsia="en-US"/>
        </w:rPr>
      </w:pPr>
      <w:r>
        <w:rPr>
          <w:lang w:eastAsia="en-US"/>
        </w:rPr>
        <w:t>The University of Queensland</w:t>
      </w:r>
      <w:r w:rsidRPr="00EA0D17">
        <w:rPr>
          <w:lang w:eastAsia="en-US"/>
        </w:rPr>
        <w:t xml:space="preserve"> has </w:t>
      </w:r>
      <w:r>
        <w:rPr>
          <w:lang w:eastAsia="en-US"/>
        </w:rPr>
        <w:t>a suite of</w:t>
      </w:r>
      <w:r w:rsidRPr="00EA0D17">
        <w:rPr>
          <w:lang w:eastAsia="en-US"/>
        </w:rPr>
        <w:t xml:space="preserve"> poli</w:t>
      </w:r>
      <w:r>
        <w:rPr>
          <w:lang w:eastAsia="en-US"/>
        </w:rPr>
        <w:t>cies, procedures and guidelines</w:t>
      </w:r>
      <w:r w:rsidRPr="00EA0D17">
        <w:rPr>
          <w:lang w:eastAsia="en-US"/>
        </w:rPr>
        <w:t xml:space="preserve"> </w:t>
      </w:r>
      <w:r w:rsidR="009C7F4E">
        <w:rPr>
          <w:lang w:eastAsia="en-US"/>
        </w:rPr>
        <w:t>that</w:t>
      </w:r>
      <w:r w:rsidRPr="00EA0D17">
        <w:rPr>
          <w:lang w:eastAsia="en-US"/>
        </w:rPr>
        <w:t xml:space="preserve"> are designed to ensure students </w:t>
      </w:r>
      <w:r>
        <w:rPr>
          <w:lang w:eastAsia="en-US"/>
        </w:rPr>
        <w:t xml:space="preserve">and staff </w:t>
      </w:r>
      <w:r w:rsidRPr="00EA0D17">
        <w:rPr>
          <w:lang w:eastAsia="en-US"/>
        </w:rPr>
        <w:t xml:space="preserve">are aware of </w:t>
      </w:r>
      <w:r w:rsidR="009C7F4E">
        <w:rPr>
          <w:lang w:eastAsia="en-US"/>
        </w:rPr>
        <w:t>their academic obligations</w:t>
      </w:r>
      <w:r w:rsidRPr="00EA0D17">
        <w:rPr>
          <w:lang w:eastAsia="en-US"/>
        </w:rPr>
        <w:t xml:space="preserve"> and </w:t>
      </w:r>
      <w:r>
        <w:rPr>
          <w:lang w:eastAsia="en-US"/>
        </w:rPr>
        <w:t>are familiar with administrative aspects of their enrolment at the University</w:t>
      </w:r>
      <w:r w:rsidRPr="00EA0D17">
        <w:rPr>
          <w:lang w:eastAsia="en-US"/>
        </w:rPr>
        <w:t xml:space="preserve">. </w:t>
      </w:r>
      <w:r w:rsidR="005B3168">
        <w:rPr>
          <w:lang w:eastAsia="en-US"/>
        </w:rPr>
        <w:t>T</w:t>
      </w:r>
      <w:r w:rsidRPr="00EA0D17">
        <w:rPr>
          <w:lang w:eastAsia="en-US"/>
        </w:rPr>
        <w:t xml:space="preserve">he University’s policies and </w:t>
      </w:r>
      <w:r>
        <w:rPr>
          <w:lang w:eastAsia="en-US"/>
        </w:rPr>
        <w:t xml:space="preserve">associated procedures relating to teaching and learning </w:t>
      </w:r>
      <w:r w:rsidR="005B3168">
        <w:rPr>
          <w:lang w:eastAsia="en-US"/>
        </w:rPr>
        <w:t xml:space="preserve">can be found </w:t>
      </w:r>
      <w:r>
        <w:rPr>
          <w:lang w:eastAsia="en-US"/>
        </w:rPr>
        <w:t>at</w:t>
      </w:r>
      <w:r w:rsidRPr="00EA0D17">
        <w:rPr>
          <w:lang w:eastAsia="en-US"/>
        </w:rPr>
        <w:t xml:space="preserve">: </w:t>
      </w:r>
      <w:r>
        <w:rPr>
          <w:lang w:eastAsia="en-US"/>
        </w:rPr>
        <w:t xml:space="preserve">  </w:t>
      </w:r>
      <w:hyperlink r:id="rId6" w:history="1">
        <w:r w:rsidR="006C0497" w:rsidRPr="006C0497">
          <w:rPr>
            <w:rStyle w:val="Hyperlink"/>
            <w:rFonts w:eastAsiaTheme="minorHAnsi"/>
            <w:lang w:eastAsia="en-US"/>
          </w:rPr>
          <w:t>3. Teaching and Learning</w:t>
        </w:r>
      </w:hyperlink>
    </w:p>
    <w:p w14:paraId="67542C3A" w14:textId="6A39A969" w:rsidR="00EA0D17" w:rsidRPr="00EA0D17" w:rsidRDefault="009C7F4E" w:rsidP="001E1B45">
      <w:pPr>
        <w:rPr>
          <w:lang w:eastAsia="en-US"/>
        </w:rPr>
      </w:pPr>
      <w:r>
        <w:rPr>
          <w:lang w:eastAsia="en-US"/>
        </w:rPr>
        <w:t xml:space="preserve">Students are expected to undertake the on-line academic integrity tutorial after they have enrolled.  </w:t>
      </w:r>
      <w:r w:rsidR="005B3168">
        <w:rPr>
          <w:lang w:eastAsia="en-US"/>
        </w:rPr>
        <w:t>They</w:t>
      </w:r>
      <w:r>
        <w:rPr>
          <w:lang w:eastAsia="en-US"/>
        </w:rPr>
        <w:t xml:space="preserve"> will be provided with a link to that tutorial when </w:t>
      </w:r>
      <w:r w:rsidR="005B3168">
        <w:rPr>
          <w:lang w:eastAsia="en-US"/>
        </w:rPr>
        <w:t>they</w:t>
      </w:r>
      <w:r>
        <w:rPr>
          <w:lang w:eastAsia="en-US"/>
        </w:rPr>
        <w:t xml:space="preserve"> sign into the University’s student record system</w:t>
      </w:r>
      <w:r w:rsidR="00D503A6">
        <w:rPr>
          <w:lang w:eastAsia="en-US"/>
        </w:rPr>
        <w:t>,</w:t>
      </w:r>
      <w:r>
        <w:rPr>
          <w:lang w:eastAsia="en-US"/>
        </w:rPr>
        <w:t xml:space="preserve"> called </w:t>
      </w:r>
      <w:proofErr w:type="spellStart"/>
      <w:r>
        <w:rPr>
          <w:lang w:eastAsia="en-US"/>
        </w:rPr>
        <w:t>mySI</w:t>
      </w:r>
      <w:proofErr w:type="spellEnd"/>
      <w:r>
        <w:rPr>
          <w:lang w:eastAsia="en-US"/>
        </w:rPr>
        <w:t>-net.</w:t>
      </w:r>
    </w:p>
    <w:p w14:paraId="7E59AD28" w14:textId="77777777" w:rsidR="00503904" w:rsidRPr="00EA0D17" w:rsidRDefault="00503904" w:rsidP="001E1B45">
      <w:pPr>
        <w:rPr>
          <w:lang w:eastAsia="en-US"/>
        </w:rPr>
      </w:pPr>
    </w:p>
    <w:p w14:paraId="4EF96F3A" w14:textId="523E7EA2" w:rsidR="00EA0D17" w:rsidRPr="00EA0D17" w:rsidRDefault="00EA0D17" w:rsidP="001E1B45">
      <w:pPr>
        <w:rPr>
          <w:rStyle w:val="Strong"/>
        </w:rPr>
      </w:pPr>
      <w:r w:rsidRPr="00EA0D17">
        <w:rPr>
          <w:rStyle w:val="Strong"/>
        </w:rPr>
        <w:t>Additional course costs</w:t>
      </w:r>
    </w:p>
    <w:p w14:paraId="1E91C856" w14:textId="68AA4A65" w:rsidR="009D5843" w:rsidRDefault="001E1B45" w:rsidP="001E1B45">
      <w:pPr>
        <w:spacing w:after="160"/>
        <w:rPr>
          <w:rFonts w:eastAsia="Times New Roman"/>
          <w:color w:val="auto"/>
          <w:lang w:val="en-GB" w:eastAsia="en-US"/>
        </w:rPr>
      </w:pPr>
      <w:r>
        <w:rPr>
          <w:rFonts w:eastAsia="Times New Roman"/>
          <w:color w:val="auto"/>
          <w:lang w:val="en-GB" w:eastAsia="en-US"/>
        </w:rPr>
        <w:lastRenderedPageBreak/>
        <w:t xml:space="preserve">VEP students will be supplied a code to enrol, without cost, in the Verified Track of the </w:t>
      </w:r>
      <w:r w:rsidR="00EE2400">
        <w:rPr>
          <w:rFonts w:eastAsia="Times New Roman"/>
          <w:color w:val="auto"/>
          <w:lang w:val="en-GB" w:eastAsia="en-US"/>
        </w:rPr>
        <w:t>WRIT1101X</w:t>
      </w:r>
      <w:r>
        <w:rPr>
          <w:rFonts w:eastAsia="Times New Roman"/>
          <w:color w:val="auto"/>
          <w:lang w:val="en-GB" w:eastAsia="en-US"/>
        </w:rPr>
        <w:t xml:space="preserve"> MOOC.</w:t>
      </w:r>
    </w:p>
    <w:p w14:paraId="1380E426" w14:textId="5D7615C4" w:rsidR="009D5843" w:rsidRPr="009D5843" w:rsidRDefault="009D5843" w:rsidP="009D5843">
      <w:pPr>
        <w:rPr>
          <w:rFonts w:ascii="Times New Roman" w:eastAsia="Times New Roman" w:hAnsi="Times New Roman" w:cs="Times New Roman"/>
          <w:color w:val="auto"/>
          <w:lang w:val="en-GB" w:eastAsia="en-GB"/>
        </w:rPr>
      </w:pPr>
      <w:r w:rsidRPr="009D5843">
        <w:rPr>
          <w:rFonts w:ascii="Calibri" w:eastAsia="Times New Roman" w:hAnsi="Calibri" w:cs="Times New Roman"/>
          <w:lang w:val="en-GB" w:eastAsia="en-GB"/>
        </w:rPr>
        <w:t>The required textbook is available worldwide as a paperback and as an e-book</w:t>
      </w:r>
      <w:r>
        <w:rPr>
          <w:rFonts w:ascii="Calibri" w:eastAsia="Times New Roman" w:hAnsi="Calibri" w:cs="Times New Roman"/>
          <w:lang w:val="en-GB" w:eastAsia="en-GB"/>
        </w:rPr>
        <w:t>.</w:t>
      </w:r>
    </w:p>
    <w:p w14:paraId="6ECC9240" w14:textId="4B73F1AB" w:rsidR="009D5843" w:rsidRPr="001E1B45" w:rsidRDefault="001E1B45" w:rsidP="001E1B45">
      <w:pPr>
        <w:spacing w:after="160"/>
        <w:rPr>
          <w:rFonts w:eastAsia="Times New Roman"/>
          <w:color w:val="auto"/>
          <w:lang w:val="en-GB" w:eastAsia="en-US"/>
        </w:rPr>
      </w:pPr>
      <w:r>
        <w:rPr>
          <w:rFonts w:eastAsia="Times New Roman"/>
          <w:color w:val="auto"/>
          <w:lang w:val="en-GB" w:eastAsia="en-US"/>
        </w:rPr>
        <w:t xml:space="preserve"> </w:t>
      </w:r>
    </w:p>
    <w:p w14:paraId="257D11ED" w14:textId="5E96977D" w:rsidR="009C7F4E" w:rsidRPr="009C7F4E" w:rsidRDefault="009C7F4E" w:rsidP="001E1B45">
      <w:pPr>
        <w:rPr>
          <w:rStyle w:val="Strong"/>
        </w:rPr>
      </w:pPr>
      <w:r>
        <w:rPr>
          <w:rStyle w:val="Strong"/>
        </w:rPr>
        <w:t>Support for Students</w:t>
      </w:r>
    </w:p>
    <w:p w14:paraId="4A257A9A" w14:textId="33CEADD9" w:rsidR="009C7F4E" w:rsidRPr="009C7F4E" w:rsidRDefault="009C7F4E" w:rsidP="001E1B45">
      <w:r w:rsidRPr="009C7F4E">
        <w:t xml:space="preserve">The University offers a number of support services for students. Information on these is available online from </w:t>
      </w:r>
      <w:hyperlink r:id="rId7" w:history="1">
        <w:r w:rsidR="006C0497" w:rsidRPr="006C0497">
          <w:rPr>
            <w:rStyle w:val="Hyperlink"/>
            <w:rFonts w:eastAsiaTheme="minorHAnsi"/>
            <w:bCs/>
          </w:rPr>
          <w:t>Student Services</w:t>
        </w:r>
      </w:hyperlink>
      <w:r w:rsidR="006C0497">
        <w:t>.</w:t>
      </w:r>
    </w:p>
    <w:p w14:paraId="1ADD470E" w14:textId="77777777" w:rsidR="009C7F4E" w:rsidRPr="009C7F4E" w:rsidRDefault="009C7F4E" w:rsidP="001E1B45"/>
    <w:p w14:paraId="35FBA726" w14:textId="0422EC8B" w:rsidR="009C7F4E" w:rsidRPr="009C7F4E" w:rsidRDefault="009C7F4E" w:rsidP="001E1B45">
      <w:pPr>
        <w:rPr>
          <w:rStyle w:val="Strong"/>
          <w:bCs w:val="0"/>
        </w:rPr>
      </w:pPr>
      <w:r>
        <w:rPr>
          <w:rStyle w:val="Strong"/>
          <w:bCs w:val="0"/>
        </w:rPr>
        <w:t>Other Information</w:t>
      </w:r>
    </w:p>
    <w:p w14:paraId="12482616" w14:textId="7921F257" w:rsidR="009C7F4E" w:rsidRPr="009C7F4E" w:rsidRDefault="009C7F4E" w:rsidP="001E1B45">
      <w:r w:rsidRPr="009C7F4E">
        <w:t>To enrich the portfolio of students</w:t>
      </w:r>
      <w:r>
        <w:t>, UQ</w:t>
      </w:r>
      <w:r w:rsidRPr="009C7F4E">
        <w:t xml:space="preserve"> and </w:t>
      </w:r>
      <w:r>
        <w:t xml:space="preserve">a number of </w:t>
      </w:r>
      <w:r w:rsidRPr="009C7F4E">
        <w:t xml:space="preserve">other leading universities started the </w:t>
      </w:r>
      <w:r>
        <w:t>‘</w:t>
      </w:r>
      <w:r w:rsidRPr="009C7F4E">
        <w:t>Credits for MOOCs</w:t>
      </w:r>
      <w:r>
        <w:t>’</w:t>
      </w:r>
      <w:r w:rsidRPr="009C7F4E">
        <w:t xml:space="preserve"> project. Students are able to benefit from the available MOOCs offered by experts in the field by incorporating these MOOCs in their study </w:t>
      </w:r>
      <w:r>
        <w:t>program, usually as elective credit</w:t>
      </w:r>
      <w:r w:rsidRPr="009C7F4E">
        <w:t xml:space="preserve">. </w:t>
      </w:r>
    </w:p>
    <w:p w14:paraId="45728AA3" w14:textId="77777777" w:rsidR="00EA0D17" w:rsidRPr="00EA0D17" w:rsidRDefault="00EA0D17" w:rsidP="001E1B45"/>
    <w:p w14:paraId="2EEB237F" w14:textId="63B61702" w:rsidR="00A463D9" w:rsidRPr="009C7F4E" w:rsidRDefault="00A463D9" w:rsidP="001E1B45">
      <w:pPr>
        <w:rPr>
          <w:rStyle w:val="Strong"/>
          <w:bCs w:val="0"/>
        </w:rPr>
      </w:pPr>
      <w:r>
        <w:rPr>
          <w:rStyle w:val="Strong"/>
          <w:bCs w:val="0"/>
        </w:rPr>
        <w:t>Application/Enrolment</w:t>
      </w:r>
    </w:p>
    <w:p w14:paraId="44A50A6F" w14:textId="5AC1C711" w:rsidR="00EA0D17" w:rsidRDefault="00A463D9" w:rsidP="001E1B45">
      <w:r>
        <w:t>This course is open to a limited number of students from Credit for MOOCs partner institutions.</w:t>
      </w:r>
    </w:p>
    <w:p w14:paraId="44AE7E48" w14:textId="77777777" w:rsidR="00A463D9" w:rsidRDefault="00A463D9" w:rsidP="001E1B45"/>
    <w:p w14:paraId="76329883" w14:textId="4366FF97" w:rsidR="00A463D9" w:rsidRPr="006C717C" w:rsidRDefault="005B3168" w:rsidP="001E1B45">
      <w:r>
        <w:t>Students must</w:t>
      </w:r>
      <w:r w:rsidR="00A463D9">
        <w:t xml:space="preserve"> contact </w:t>
      </w:r>
      <w:r>
        <w:t>their</w:t>
      </w:r>
      <w:r w:rsidR="00A463D9">
        <w:t xml:space="preserve"> home institution for details.  UQ will not accept applications from individual students.</w:t>
      </w:r>
    </w:p>
    <w:sectPr w:rsidR="00A463D9" w:rsidRPr="006C717C" w:rsidSect="005C2A72">
      <w:pgSz w:w="12240" w:h="15840"/>
      <w:pgMar w:top="851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1E3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246"/>
    <w:multiLevelType w:val="hybridMultilevel"/>
    <w:tmpl w:val="6ECE5448"/>
    <w:lvl w:ilvl="0" w:tplc="6CE89020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347F2"/>
    <w:multiLevelType w:val="multilevel"/>
    <w:tmpl w:val="A69C48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6EE1242"/>
    <w:multiLevelType w:val="hybridMultilevel"/>
    <w:tmpl w:val="3362A0C8"/>
    <w:lvl w:ilvl="0" w:tplc="7BBC5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F62"/>
    <w:multiLevelType w:val="hybridMultilevel"/>
    <w:tmpl w:val="04EC401E"/>
    <w:lvl w:ilvl="0" w:tplc="6CE890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984"/>
    <w:multiLevelType w:val="hybridMultilevel"/>
    <w:tmpl w:val="DE9203DE"/>
    <w:lvl w:ilvl="0" w:tplc="6CE89020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E303E"/>
    <w:multiLevelType w:val="hybridMultilevel"/>
    <w:tmpl w:val="AB22E6FA"/>
    <w:lvl w:ilvl="0" w:tplc="FE165CD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C09C8"/>
    <w:multiLevelType w:val="hybridMultilevel"/>
    <w:tmpl w:val="E31434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3623A"/>
    <w:multiLevelType w:val="hybridMultilevel"/>
    <w:tmpl w:val="5150D8CA"/>
    <w:lvl w:ilvl="0" w:tplc="ED4ABFE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DE7"/>
    <w:multiLevelType w:val="hybridMultilevel"/>
    <w:tmpl w:val="19309FCE"/>
    <w:lvl w:ilvl="0" w:tplc="7BBC53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A16C2"/>
    <w:multiLevelType w:val="multilevel"/>
    <w:tmpl w:val="6A629C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18831E0"/>
    <w:multiLevelType w:val="hybridMultilevel"/>
    <w:tmpl w:val="270EBC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C1192"/>
    <w:multiLevelType w:val="hybridMultilevel"/>
    <w:tmpl w:val="65421C56"/>
    <w:lvl w:ilvl="0" w:tplc="BCF222CC">
      <w:start w:val="10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94A27"/>
    <w:multiLevelType w:val="hybridMultilevel"/>
    <w:tmpl w:val="E74E4232"/>
    <w:lvl w:ilvl="0" w:tplc="6CE89020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B25DB"/>
    <w:multiLevelType w:val="hybridMultilevel"/>
    <w:tmpl w:val="0F849590"/>
    <w:lvl w:ilvl="0" w:tplc="6CE89020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3A5653"/>
    <w:multiLevelType w:val="hybridMultilevel"/>
    <w:tmpl w:val="12665674"/>
    <w:lvl w:ilvl="0" w:tplc="6CE89020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F5652"/>
    <w:multiLevelType w:val="hybridMultilevel"/>
    <w:tmpl w:val="9A38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9419C"/>
    <w:multiLevelType w:val="hybridMultilevel"/>
    <w:tmpl w:val="61C2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C3339"/>
    <w:multiLevelType w:val="hybridMultilevel"/>
    <w:tmpl w:val="7E8AFB3E"/>
    <w:lvl w:ilvl="0" w:tplc="7BBC5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A584F"/>
    <w:multiLevelType w:val="hybridMultilevel"/>
    <w:tmpl w:val="1A2A397A"/>
    <w:lvl w:ilvl="0" w:tplc="7BBC53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E4157"/>
    <w:multiLevelType w:val="hybridMultilevel"/>
    <w:tmpl w:val="F04C40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6"/>
  </w:num>
  <w:num w:numId="8">
    <w:abstractNumId w:val="9"/>
  </w:num>
  <w:num w:numId="9">
    <w:abstractNumId w:val="19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  <w:num w:numId="17">
    <w:abstractNumId w:val="13"/>
  </w:num>
  <w:num w:numId="18">
    <w:abstractNumId w:val="7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EF"/>
    <w:rsid w:val="00017298"/>
    <w:rsid w:val="00032275"/>
    <w:rsid w:val="00060826"/>
    <w:rsid w:val="000D1EC8"/>
    <w:rsid w:val="001C4E3B"/>
    <w:rsid w:val="001E1A2F"/>
    <w:rsid w:val="001E1B45"/>
    <w:rsid w:val="00235BCC"/>
    <w:rsid w:val="00247F82"/>
    <w:rsid w:val="002D2DFE"/>
    <w:rsid w:val="00323CDE"/>
    <w:rsid w:val="00356C4A"/>
    <w:rsid w:val="00376C94"/>
    <w:rsid w:val="00464951"/>
    <w:rsid w:val="004F1A03"/>
    <w:rsid w:val="00503904"/>
    <w:rsid w:val="00575BB8"/>
    <w:rsid w:val="005B3168"/>
    <w:rsid w:val="005C1984"/>
    <w:rsid w:val="005C2A72"/>
    <w:rsid w:val="005C2CFE"/>
    <w:rsid w:val="005D253E"/>
    <w:rsid w:val="00614216"/>
    <w:rsid w:val="00651EF1"/>
    <w:rsid w:val="0067299D"/>
    <w:rsid w:val="006749E8"/>
    <w:rsid w:val="0069471A"/>
    <w:rsid w:val="006C0497"/>
    <w:rsid w:val="006C717C"/>
    <w:rsid w:val="006F59D7"/>
    <w:rsid w:val="008055E4"/>
    <w:rsid w:val="00820B0D"/>
    <w:rsid w:val="00852E49"/>
    <w:rsid w:val="008A5535"/>
    <w:rsid w:val="008E42BB"/>
    <w:rsid w:val="0093011B"/>
    <w:rsid w:val="009350BD"/>
    <w:rsid w:val="00966D1D"/>
    <w:rsid w:val="009734C0"/>
    <w:rsid w:val="009B4412"/>
    <w:rsid w:val="009C46F7"/>
    <w:rsid w:val="009C68D9"/>
    <w:rsid w:val="009C7F4E"/>
    <w:rsid w:val="009D5843"/>
    <w:rsid w:val="00A463D9"/>
    <w:rsid w:val="00A61D71"/>
    <w:rsid w:val="00AC0E63"/>
    <w:rsid w:val="00B010DE"/>
    <w:rsid w:val="00B0586D"/>
    <w:rsid w:val="00B452A2"/>
    <w:rsid w:val="00B73718"/>
    <w:rsid w:val="00B90C43"/>
    <w:rsid w:val="00BE0C03"/>
    <w:rsid w:val="00C26AD5"/>
    <w:rsid w:val="00C755E5"/>
    <w:rsid w:val="00CC2CD6"/>
    <w:rsid w:val="00D0396A"/>
    <w:rsid w:val="00D11E6D"/>
    <w:rsid w:val="00D21C00"/>
    <w:rsid w:val="00D24D30"/>
    <w:rsid w:val="00D503A6"/>
    <w:rsid w:val="00D564ED"/>
    <w:rsid w:val="00D85708"/>
    <w:rsid w:val="00DD3E97"/>
    <w:rsid w:val="00E73BF9"/>
    <w:rsid w:val="00EA0D17"/>
    <w:rsid w:val="00EA1BD8"/>
    <w:rsid w:val="00EA7568"/>
    <w:rsid w:val="00EC3987"/>
    <w:rsid w:val="00EE2400"/>
    <w:rsid w:val="00F7156B"/>
    <w:rsid w:val="00F725A2"/>
    <w:rsid w:val="00FB64EF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71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1B45"/>
    <w:pPr>
      <w:spacing w:line="240" w:lineRule="auto"/>
    </w:pPr>
    <w:rPr>
      <w:rFonts w:asciiTheme="minorHAnsi" w:hAnsiTheme="minorHAnsi"/>
      <w:sz w:val="20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Heading3"/>
    <w:next w:val="Normal"/>
    <w:rsid w:val="004F1A03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6C717C"/>
    <w:rPr>
      <w:rFonts w:ascii="Cambria" w:hAnsi="Cambria"/>
      <w:b/>
      <w:bCs/>
      <w:sz w:val="28"/>
    </w:rPr>
  </w:style>
  <w:style w:type="paragraph" w:styleId="ListParagraph">
    <w:name w:val="List Paragraph"/>
    <w:basedOn w:val="Normal"/>
    <w:uiPriority w:val="34"/>
    <w:qFormat/>
    <w:rsid w:val="0093011B"/>
    <w:pPr>
      <w:ind w:left="720"/>
      <w:contextualSpacing/>
    </w:pPr>
  </w:style>
  <w:style w:type="character" w:styleId="IntenseReference">
    <w:name w:val="Intense Reference"/>
    <w:uiPriority w:val="32"/>
    <w:qFormat/>
    <w:rsid w:val="00032275"/>
    <w:rPr>
      <w:rFonts w:ascii="Cambria" w:hAnsi="Cambria"/>
      <w:b/>
      <w:color w:val="2F5496" w:themeColor="accent5" w:themeShade="BF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B90C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D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q.edu.au/student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l.app.uq.edu.au/content/3.-teaching-and-learnin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Parker</dc:creator>
  <cp:lastModifiedBy>Vivien Durant</cp:lastModifiedBy>
  <cp:revision>2</cp:revision>
  <cp:lastPrinted>2017-05-17T22:10:00Z</cp:lastPrinted>
  <dcterms:created xsi:type="dcterms:W3CDTF">2017-05-24T02:10:00Z</dcterms:created>
  <dcterms:modified xsi:type="dcterms:W3CDTF">2017-05-24T02:10:00Z</dcterms:modified>
</cp:coreProperties>
</file>